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685701" w14:textId="1C6204E1" w:rsidR="00903E5D" w:rsidRPr="00566CF2" w:rsidRDefault="00903E5D" w:rsidP="00903E5D">
      <w:pPr>
        <w:jc w:val="center"/>
        <w:rPr>
          <w:b/>
          <w:bCs/>
          <w:sz w:val="24"/>
          <w:szCs w:val="24"/>
        </w:rPr>
      </w:pPr>
      <w:bookmarkStart w:id="0" w:name="_Hlk76814636"/>
      <w:r w:rsidRPr="00566CF2">
        <w:rPr>
          <w:b/>
          <w:bCs/>
          <w:sz w:val="24"/>
          <w:szCs w:val="24"/>
        </w:rPr>
        <w:t>Protecting Customers from Payment Scams</w:t>
      </w:r>
    </w:p>
    <w:bookmarkEnd w:id="0"/>
    <w:p w14:paraId="045D88E2" w14:textId="77777777" w:rsidR="00566CF2" w:rsidRPr="00910698" w:rsidRDefault="00566CF2" w:rsidP="00566CF2">
      <w:pPr>
        <w:spacing w:line="240" w:lineRule="auto"/>
        <w:jc w:val="center"/>
        <w:rPr>
          <w:bCs/>
          <w:color w:val="FFFFFF" w:themeColor="background1"/>
          <w:sz w:val="24"/>
          <w:szCs w:val="24"/>
          <w:lang w:val="en-US"/>
        </w:rPr>
      </w:pPr>
      <w:r w:rsidRPr="00910698">
        <w:rPr>
          <w:b/>
          <w:bCs/>
          <w:sz w:val="24"/>
          <w:szCs w:val="24"/>
          <w:lang w:val="en-US"/>
        </w:rPr>
        <w:t>Sandra Booysen*</w:t>
      </w:r>
      <w:r w:rsidRPr="00910698">
        <w:rPr>
          <w:rStyle w:val="FootnoteReference"/>
          <w:b/>
          <w:bCs/>
          <w:color w:val="FFFFFF" w:themeColor="background1"/>
          <w:sz w:val="24"/>
          <w:szCs w:val="24"/>
          <w:lang w:val="en-US"/>
        </w:rPr>
        <w:footnoteReference w:customMarkFollows="1" w:id="1"/>
        <w:sym w:font="Symbol" w:char="F02A"/>
      </w:r>
    </w:p>
    <w:p w14:paraId="611B236E" w14:textId="77777777" w:rsidR="00903E5D" w:rsidRPr="00566CF2" w:rsidRDefault="00903E5D" w:rsidP="00903E5D">
      <w:pPr>
        <w:rPr>
          <w:rFonts w:cstheme="minorHAnsi"/>
          <w:i/>
          <w:iCs/>
          <w:sz w:val="24"/>
          <w:szCs w:val="24"/>
          <w:lang w:eastAsia="ar-SA"/>
        </w:rPr>
      </w:pPr>
      <w:r w:rsidRPr="00566CF2">
        <w:rPr>
          <w:rFonts w:cstheme="minorHAnsi"/>
          <w:i/>
          <w:iCs/>
          <w:sz w:val="24"/>
          <w:szCs w:val="24"/>
          <w:lang w:eastAsia="ar-SA"/>
        </w:rPr>
        <w:t xml:space="preserve">The lockdowns witnessed during 2020-2021 on account of the Covid-19 pandemic led to a surge in the use of digital banking and e-commerce services. Predictably, payment scams also increased alarmingly. A particularly prevalent type of payment scam is the authorised push payment (APP) scam, a recent example of which can be found in the facts of the English High Court case of </w:t>
      </w:r>
      <w:bookmarkStart w:id="1" w:name="_Hlk67339339"/>
      <w:r w:rsidRPr="00566CF2">
        <w:rPr>
          <w:rFonts w:cstheme="minorHAnsi"/>
          <w:i/>
          <w:iCs/>
          <w:sz w:val="24"/>
          <w:szCs w:val="24"/>
          <w:lang w:eastAsia="ar-SA"/>
        </w:rPr>
        <w:t>Philipp</w:t>
      </w:r>
      <w:bookmarkEnd w:id="1"/>
      <w:r w:rsidRPr="00566CF2">
        <w:rPr>
          <w:rFonts w:cstheme="minorHAnsi"/>
          <w:i/>
          <w:iCs/>
          <w:sz w:val="24"/>
          <w:szCs w:val="24"/>
          <w:lang w:eastAsia="ar-SA"/>
        </w:rPr>
        <w:t xml:space="preserve"> v Barclays Bank UK Plc [2021] EWHC 10 (Comm). One basic safeguard for bank customers against the APP scam is the bank’s duty of care, but in Philipp the court’s narrow articulation of the duty means that it has little role to play in protecting individuals from APP scams. My paper will critique the decision with reference to the historical development of the bank’s duty of care in common law jurisdictions, and as a matter of policy having regard to the prevalent problem of APP scams. </w:t>
      </w:r>
    </w:p>
    <w:p w14:paraId="39F81B51" w14:textId="749D1724" w:rsidR="00CF12A9" w:rsidRDefault="00CF12A9" w:rsidP="007E0D63">
      <w:pPr>
        <w:pStyle w:val="ListParagraph"/>
        <w:numPr>
          <w:ilvl w:val="0"/>
          <w:numId w:val="3"/>
        </w:numPr>
        <w:rPr>
          <w:sz w:val="24"/>
          <w:szCs w:val="24"/>
        </w:rPr>
      </w:pPr>
      <w:r w:rsidRPr="007E0D63">
        <w:rPr>
          <w:sz w:val="24"/>
          <w:szCs w:val="24"/>
        </w:rPr>
        <w:t>Introduction</w:t>
      </w:r>
    </w:p>
    <w:p w14:paraId="024A3496" w14:textId="2A525451" w:rsidR="00961D7B" w:rsidRDefault="0012366F" w:rsidP="0012366F">
      <w:pPr>
        <w:rPr>
          <w:sz w:val="24"/>
          <w:szCs w:val="24"/>
        </w:rPr>
      </w:pPr>
      <w:r w:rsidRPr="0012366F">
        <w:rPr>
          <w:sz w:val="24"/>
          <w:szCs w:val="24"/>
        </w:rPr>
        <w:t>Payment scams targeting businesses and consumers have reached ‘unprecedented’ levels,</w:t>
      </w:r>
      <w:r>
        <w:rPr>
          <w:rStyle w:val="FootnoteReference"/>
          <w:sz w:val="24"/>
          <w:szCs w:val="24"/>
          <w:lang w:val="en-SG"/>
        </w:rPr>
        <w:footnoteReference w:id="2"/>
      </w:r>
      <w:r w:rsidRPr="0012366F">
        <w:rPr>
          <w:sz w:val="24"/>
          <w:szCs w:val="24"/>
          <w:lang w:val="en-SG"/>
        </w:rPr>
        <w:t xml:space="preserve"> </w:t>
      </w:r>
      <w:r w:rsidRPr="0012366F">
        <w:rPr>
          <w:sz w:val="24"/>
          <w:szCs w:val="24"/>
        </w:rPr>
        <w:t xml:space="preserve"> resulting in substantial losses.</w:t>
      </w:r>
      <w:r w:rsidRPr="0012366F">
        <w:rPr>
          <w:sz w:val="24"/>
          <w:szCs w:val="24"/>
          <w:lang w:val="en-SG"/>
        </w:rPr>
        <w:t xml:space="preserve"> </w:t>
      </w:r>
      <w:r w:rsidRPr="0012366F">
        <w:rPr>
          <w:sz w:val="24"/>
          <w:szCs w:val="24"/>
        </w:rPr>
        <w:t xml:space="preserve">The problem has been exacerbated by the Covid-19 pandemic which has given </w:t>
      </w:r>
      <w:r w:rsidR="009F4BBC">
        <w:rPr>
          <w:sz w:val="24"/>
          <w:szCs w:val="24"/>
        </w:rPr>
        <w:t xml:space="preserve">fraudsters </w:t>
      </w:r>
      <w:r w:rsidRPr="0012366F">
        <w:rPr>
          <w:sz w:val="24"/>
          <w:szCs w:val="24"/>
        </w:rPr>
        <w:t xml:space="preserve">new opportunities to deceive and prey on vulnerabilities, as noted by </w:t>
      </w:r>
      <w:r w:rsidR="00135B73">
        <w:rPr>
          <w:sz w:val="24"/>
          <w:szCs w:val="24"/>
        </w:rPr>
        <w:t>the UK’s</w:t>
      </w:r>
      <w:r w:rsidR="00135B73" w:rsidRPr="0012366F">
        <w:rPr>
          <w:sz w:val="24"/>
          <w:szCs w:val="24"/>
        </w:rPr>
        <w:t xml:space="preserve"> financial services trade association</w:t>
      </w:r>
      <w:r w:rsidR="00135B73">
        <w:rPr>
          <w:sz w:val="24"/>
          <w:szCs w:val="24"/>
        </w:rPr>
        <w:t>,</w:t>
      </w:r>
      <w:r w:rsidR="00135B73" w:rsidRPr="0012366F">
        <w:rPr>
          <w:sz w:val="24"/>
          <w:szCs w:val="24"/>
        </w:rPr>
        <w:t xml:space="preserve"> </w:t>
      </w:r>
      <w:r w:rsidRPr="0012366F">
        <w:rPr>
          <w:sz w:val="24"/>
          <w:szCs w:val="24"/>
        </w:rPr>
        <w:t xml:space="preserve">UK Finance: </w:t>
      </w:r>
      <w:r w:rsidRPr="0012366F">
        <w:rPr>
          <w:sz w:val="24"/>
          <w:szCs w:val="24"/>
          <w:lang w:val="en-SG"/>
        </w:rPr>
        <w:t>criminals have ‘ruthlessly adapted to [the] pandemic with scams exploiting the rise in people working from home and spending time online’.</w:t>
      </w:r>
      <w:r w:rsidR="00D5117F">
        <w:rPr>
          <w:rStyle w:val="FootnoteReference"/>
          <w:sz w:val="24"/>
          <w:szCs w:val="24"/>
          <w:lang w:val="en-SG"/>
        </w:rPr>
        <w:footnoteReference w:id="3"/>
      </w:r>
      <w:r w:rsidR="00D5117F">
        <w:rPr>
          <w:sz w:val="24"/>
          <w:szCs w:val="24"/>
          <w:lang w:val="en-SG"/>
        </w:rPr>
        <w:t xml:space="preserve"> </w:t>
      </w:r>
      <w:r w:rsidR="00D5117F">
        <w:rPr>
          <w:sz w:val="24"/>
          <w:szCs w:val="24"/>
        </w:rPr>
        <w:t xml:space="preserve">Similarly, the </w:t>
      </w:r>
      <w:r w:rsidR="00D5117F" w:rsidRPr="00D5117F">
        <w:rPr>
          <w:sz w:val="24"/>
          <w:szCs w:val="24"/>
        </w:rPr>
        <w:t xml:space="preserve">Australian Competition &amp; Consumer Commission </w:t>
      </w:r>
      <w:r w:rsidR="00D5117F">
        <w:rPr>
          <w:sz w:val="24"/>
          <w:szCs w:val="24"/>
        </w:rPr>
        <w:t xml:space="preserve">have stated: </w:t>
      </w:r>
      <w:r w:rsidR="00D5117F" w:rsidRPr="00D5117F">
        <w:rPr>
          <w:sz w:val="24"/>
          <w:szCs w:val="24"/>
        </w:rPr>
        <w:t>‘Globally, government and the private sector identified significant increases in scam and fraud activity during the pandemic’</w:t>
      </w:r>
      <w:r w:rsidR="00D5117F">
        <w:rPr>
          <w:sz w:val="24"/>
          <w:szCs w:val="24"/>
        </w:rPr>
        <w:t>.</w:t>
      </w:r>
      <w:r w:rsidR="00D5117F">
        <w:rPr>
          <w:rStyle w:val="FootnoteReference"/>
          <w:sz w:val="24"/>
          <w:szCs w:val="24"/>
        </w:rPr>
        <w:footnoteReference w:id="4"/>
      </w:r>
      <w:r w:rsidR="00D5117F" w:rsidRPr="00D5117F">
        <w:rPr>
          <w:sz w:val="24"/>
          <w:szCs w:val="24"/>
        </w:rPr>
        <w:t xml:space="preserve"> </w:t>
      </w:r>
      <w:r w:rsidR="00F5041E">
        <w:rPr>
          <w:sz w:val="24"/>
          <w:szCs w:val="24"/>
        </w:rPr>
        <w:t>S</w:t>
      </w:r>
      <w:r w:rsidRPr="0012366F">
        <w:rPr>
          <w:sz w:val="24"/>
          <w:szCs w:val="24"/>
        </w:rPr>
        <w:t>cams</w:t>
      </w:r>
      <w:r w:rsidR="00F5041E">
        <w:rPr>
          <w:sz w:val="24"/>
          <w:szCs w:val="24"/>
        </w:rPr>
        <w:t xml:space="preserve"> </w:t>
      </w:r>
      <w:r w:rsidR="00FB6CAF">
        <w:rPr>
          <w:sz w:val="24"/>
          <w:szCs w:val="24"/>
        </w:rPr>
        <w:t xml:space="preserve">related to </w:t>
      </w:r>
      <w:r w:rsidRPr="0012366F">
        <w:rPr>
          <w:sz w:val="24"/>
          <w:szCs w:val="24"/>
        </w:rPr>
        <w:t xml:space="preserve">the </w:t>
      </w:r>
      <w:r w:rsidR="00F5041E">
        <w:rPr>
          <w:sz w:val="24"/>
          <w:szCs w:val="24"/>
        </w:rPr>
        <w:t xml:space="preserve">devastating </w:t>
      </w:r>
      <w:r w:rsidRPr="0012366F">
        <w:rPr>
          <w:sz w:val="24"/>
          <w:szCs w:val="24"/>
        </w:rPr>
        <w:t xml:space="preserve">wild fires in </w:t>
      </w:r>
      <w:r w:rsidR="00F5041E">
        <w:rPr>
          <w:sz w:val="24"/>
          <w:szCs w:val="24"/>
        </w:rPr>
        <w:t xml:space="preserve">Australia in </w:t>
      </w:r>
      <w:r w:rsidRPr="0012366F">
        <w:rPr>
          <w:sz w:val="24"/>
          <w:szCs w:val="24"/>
        </w:rPr>
        <w:t xml:space="preserve">2019/2020 offer further evidence of </w:t>
      </w:r>
      <w:r w:rsidR="00FB6CAF">
        <w:rPr>
          <w:sz w:val="24"/>
          <w:szCs w:val="24"/>
        </w:rPr>
        <w:t>fraudsters</w:t>
      </w:r>
      <w:r w:rsidRPr="0012366F">
        <w:rPr>
          <w:sz w:val="24"/>
          <w:szCs w:val="24"/>
        </w:rPr>
        <w:t xml:space="preserve"> taking advantage of misfortune</w:t>
      </w:r>
      <w:r w:rsidR="00FB6CAF">
        <w:rPr>
          <w:sz w:val="24"/>
          <w:szCs w:val="24"/>
        </w:rPr>
        <w:t>s</w:t>
      </w:r>
      <w:r w:rsidRPr="0012366F">
        <w:rPr>
          <w:sz w:val="24"/>
          <w:szCs w:val="24"/>
        </w:rPr>
        <w:t>.</w:t>
      </w:r>
      <w:r>
        <w:rPr>
          <w:rStyle w:val="FootnoteReference"/>
          <w:sz w:val="24"/>
          <w:szCs w:val="24"/>
        </w:rPr>
        <w:footnoteReference w:id="5"/>
      </w:r>
      <w:r w:rsidRPr="0012366F">
        <w:rPr>
          <w:sz w:val="24"/>
          <w:szCs w:val="24"/>
        </w:rPr>
        <w:t xml:space="preserve"> </w:t>
      </w:r>
    </w:p>
    <w:p w14:paraId="0A06960A" w14:textId="4A1C14C1" w:rsidR="003C463E" w:rsidRDefault="0012366F" w:rsidP="0012366F">
      <w:pPr>
        <w:rPr>
          <w:rFonts w:ascii="Calibri" w:eastAsia="Calibri" w:hAnsi="Calibri" w:cs="Arial"/>
          <w:color w:val="000000"/>
          <w:sz w:val="24"/>
          <w:szCs w:val="24"/>
          <w:lang w:val="en-US"/>
        </w:rPr>
      </w:pPr>
      <w:r w:rsidRPr="0012366F">
        <w:rPr>
          <w:sz w:val="24"/>
          <w:szCs w:val="24"/>
        </w:rPr>
        <w:t>When a payment is authorised pursuant to a scam,</w:t>
      </w:r>
      <w:r>
        <w:rPr>
          <w:rStyle w:val="FootnoteReference"/>
          <w:sz w:val="24"/>
          <w:szCs w:val="24"/>
        </w:rPr>
        <w:footnoteReference w:id="6"/>
      </w:r>
      <w:r w:rsidRPr="0012366F">
        <w:rPr>
          <w:sz w:val="24"/>
          <w:szCs w:val="24"/>
        </w:rPr>
        <w:t xml:space="preserve"> the loss generally falls on the payer unless the payment services provider has breached an obligation in processing the payment.</w:t>
      </w:r>
      <w:r w:rsidR="00961D7B">
        <w:rPr>
          <w:sz w:val="24"/>
          <w:szCs w:val="24"/>
        </w:rPr>
        <w:t xml:space="preserve"> </w:t>
      </w:r>
      <w:r w:rsidRPr="0012366F">
        <w:rPr>
          <w:sz w:val="24"/>
          <w:szCs w:val="24"/>
        </w:rPr>
        <w:lastRenderedPageBreak/>
        <w:t xml:space="preserve">In this paper I discuss the role of banks in common law systems to combat </w:t>
      </w:r>
      <w:bookmarkStart w:id="4" w:name="_Hlk76828116"/>
      <w:r w:rsidRPr="0012366F">
        <w:rPr>
          <w:sz w:val="24"/>
          <w:szCs w:val="24"/>
        </w:rPr>
        <w:t>authorised scam payments</w:t>
      </w:r>
      <w:bookmarkEnd w:id="4"/>
      <w:r w:rsidR="00FB6CAF">
        <w:rPr>
          <w:sz w:val="24"/>
          <w:szCs w:val="24"/>
        </w:rPr>
        <w:t xml:space="preserve">. </w:t>
      </w:r>
      <w:r w:rsidR="003C463E" w:rsidRPr="0012366F">
        <w:rPr>
          <w:sz w:val="24"/>
          <w:szCs w:val="24"/>
        </w:rPr>
        <w:t>My paper is prompted by a 2021 decision of the English High Court</w:t>
      </w:r>
      <w:r w:rsidR="003C463E">
        <w:rPr>
          <w:sz w:val="24"/>
          <w:szCs w:val="24"/>
        </w:rPr>
        <w:t>,</w:t>
      </w:r>
      <w:r w:rsidR="003C463E" w:rsidRPr="0012366F">
        <w:rPr>
          <w:sz w:val="24"/>
          <w:szCs w:val="24"/>
        </w:rPr>
        <w:t xml:space="preserve"> </w:t>
      </w:r>
      <w:r w:rsidR="00B901C9">
        <w:rPr>
          <w:i/>
          <w:iCs/>
          <w:sz w:val="24"/>
          <w:szCs w:val="24"/>
        </w:rPr>
        <w:t xml:space="preserve">Fiona Lorraine </w:t>
      </w:r>
      <w:r w:rsidR="003C463E" w:rsidRPr="0012366F">
        <w:rPr>
          <w:rFonts w:ascii="Calibri" w:eastAsia="Calibri" w:hAnsi="Calibri" w:cs="Arial"/>
          <w:i/>
          <w:iCs/>
          <w:color w:val="000000"/>
          <w:sz w:val="24"/>
          <w:szCs w:val="24"/>
          <w:lang w:val="en-US"/>
        </w:rPr>
        <w:t xml:space="preserve">Philipp v Barclays Bank UK Plc </w:t>
      </w:r>
      <w:r w:rsidR="003C463E" w:rsidRPr="0012366F">
        <w:rPr>
          <w:rFonts w:ascii="Calibri" w:eastAsia="Calibri" w:hAnsi="Calibri" w:cs="Arial"/>
          <w:color w:val="000000"/>
          <w:sz w:val="24"/>
          <w:szCs w:val="24"/>
          <w:lang w:val="en-US"/>
        </w:rPr>
        <w:t>(</w:t>
      </w:r>
      <w:r w:rsidR="003C463E" w:rsidRPr="0012366F">
        <w:rPr>
          <w:rFonts w:ascii="Calibri" w:eastAsia="Calibri" w:hAnsi="Calibri" w:cs="Arial"/>
          <w:i/>
          <w:iCs/>
          <w:color w:val="000000"/>
          <w:sz w:val="24"/>
          <w:szCs w:val="24"/>
          <w:lang w:val="en-US"/>
        </w:rPr>
        <w:t>Philipp</w:t>
      </w:r>
      <w:r w:rsidR="003C463E" w:rsidRPr="0012366F">
        <w:rPr>
          <w:rFonts w:ascii="Calibri" w:eastAsia="Calibri" w:hAnsi="Calibri" w:cs="Arial"/>
          <w:color w:val="000000"/>
          <w:sz w:val="24"/>
          <w:szCs w:val="24"/>
          <w:lang w:val="en-US"/>
        </w:rPr>
        <w:t>),</w:t>
      </w:r>
      <w:r w:rsidR="003C463E" w:rsidRPr="004F5DD1">
        <w:rPr>
          <w:rStyle w:val="FootnoteReference"/>
          <w:rFonts w:ascii="Calibri" w:eastAsia="Calibri" w:hAnsi="Calibri" w:cs="Arial"/>
          <w:color w:val="000000"/>
          <w:sz w:val="24"/>
          <w:szCs w:val="24"/>
          <w:lang w:val="en-US"/>
        </w:rPr>
        <w:footnoteReference w:id="7"/>
      </w:r>
      <w:r w:rsidR="003C463E" w:rsidRPr="0012366F">
        <w:rPr>
          <w:sz w:val="24"/>
          <w:szCs w:val="24"/>
        </w:rPr>
        <w:t xml:space="preserve"> </w:t>
      </w:r>
      <w:r w:rsidR="003C463E" w:rsidRPr="0012366F">
        <w:rPr>
          <w:rFonts w:ascii="Calibri" w:eastAsia="Calibri" w:hAnsi="Calibri" w:cs="Arial"/>
          <w:color w:val="000000"/>
          <w:sz w:val="24"/>
          <w:szCs w:val="24"/>
          <w:lang w:val="en-US"/>
        </w:rPr>
        <w:t>in which we see consumers bringing a claim against their bank for processing a scam payment.</w:t>
      </w:r>
      <w:r w:rsidR="003C463E" w:rsidRPr="0012366F">
        <w:rPr>
          <w:rFonts w:ascii="Calibri" w:eastAsia="Calibri" w:hAnsi="Calibri" w:cs="Arial"/>
          <w:i/>
          <w:iCs/>
          <w:color w:val="000000"/>
          <w:sz w:val="24"/>
          <w:szCs w:val="24"/>
          <w:lang w:val="en-US"/>
        </w:rPr>
        <w:t xml:space="preserve"> Philipp </w:t>
      </w:r>
      <w:r w:rsidR="003C463E" w:rsidRPr="0012366F">
        <w:rPr>
          <w:rFonts w:ascii="Calibri" w:eastAsia="Calibri" w:hAnsi="Calibri" w:cs="Arial"/>
          <w:color w:val="000000"/>
          <w:sz w:val="24"/>
          <w:szCs w:val="24"/>
          <w:lang w:val="en-US"/>
        </w:rPr>
        <w:t xml:space="preserve">sets out the clearest judicial statement to date that the bank’s common law duty of care does not arise when payment instructions emanate directly from the customer, </w:t>
      </w:r>
      <w:r w:rsidR="003C463E">
        <w:rPr>
          <w:rFonts w:ascii="Calibri" w:eastAsia="Calibri" w:hAnsi="Calibri" w:cs="Arial"/>
          <w:color w:val="000000"/>
          <w:sz w:val="24"/>
          <w:szCs w:val="24"/>
          <w:lang w:val="en-US"/>
        </w:rPr>
        <w:t>ie the duty only arises when the customer operates through an</w:t>
      </w:r>
      <w:r w:rsidR="003C463E" w:rsidRPr="0012366F">
        <w:rPr>
          <w:rFonts w:ascii="Calibri" w:eastAsia="Calibri" w:hAnsi="Calibri" w:cs="Arial"/>
          <w:color w:val="000000"/>
          <w:sz w:val="24"/>
          <w:szCs w:val="24"/>
          <w:lang w:val="en-US"/>
        </w:rPr>
        <w:t xml:space="preserve"> agent. I examine key cases in the history of the bank’s duty of care and argue that the earlier cases did not limit the duty in th</w:t>
      </w:r>
      <w:r w:rsidR="003C463E">
        <w:rPr>
          <w:rFonts w:ascii="Calibri" w:eastAsia="Calibri" w:hAnsi="Calibri" w:cs="Arial"/>
          <w:color w:val="000000"/>
          <w:sz w:val="24"/>
          <w:szCs w:val="24"/>
          <w:lang w:val="en-US"/>
        </w:rPr>
        <w:t>is</w:t>
      </w:r>
      <w:r w:rsidR="003C463E" w:rsidRPr="0012366F">
        <w:rPr>
          <w:rFonts w:ascii="Calibri" w:eastAsia="Calibri" w:hAnsi="Calibri" w:cs="Arial"/>
          <w:color w:val="000000"/>
          <w:sz w:val="24"/>
          <w:szCs w:val="24"/>
          <w:lang w:val="en-US"/>
        </w:rPr>
        <w:t xml:space="preserve"> way</w:t>
      </w:r>
      <w:r w:rsidR="003C463E">
        <w:rPr>
          <w:rFonts w:ascii="Calibri" w:eastAsia="Calibri" w:hAnsi="Calibri" w:cs="Arial"/>
          <w:color w:val="000000"/>
          <w:sz w:val="24"/>
          <w:szCs w:val="24"/>
          <w:lang w:val="en-US"/>
        </w:rPr>
        <w:t>,</w:t>
      </w:r>
      <w:r w:rsidR="003C463E" w:rsidRPr="0012366F">
        <w:rPr>
          <w:rFonts w:ascii="Calibri" w:eastAsia="Calibri" w:hAnsi="Calibri" w:cs="Arial"/>
          <w:color w:val="000000"/>
          <w:sz w:val="24"/>
          <w:szCs w:val="24"/>
          <w:lang w:val="en-US"/>
        </w:rPr>
        <w:t xml:space="preserve"> and</w:t>
      </w:r>
      <w:r w:rsidR="003C463E">
        <w:rPr>
          <w:rFonts w:ascii="Calibri" w:eastAsia="Calibri" w:hAnsi="Calibri" w:cs="Arial"/>
          <w:color w:val="000000"/>
          <w:sz w:val="24"/>
          <w:szCs w:val="24"/>
          <w:lang w:val="en-US"/>
        </w:rPr>
        <w:t xml:space="preserve"> while</w:t>
      </w:r>
      <w:r w:rsidR="003C463E" w:rsidRPr="0012366F">
        <w:rPr>
          <w:rFonts w:ascii="Calibri" w:eastAsia="Calibri" w:hAnsi="Calibri" w:cs="Arial"/>
          <w:color w:val="000000"/>
          <w:sz w:val="24"/>
          <w:szCs w:val="24"/>
          <w:lang w:val="en-US"/>
        </w:rPr>
        <w:t xml:space="preserve"> the more recent cases are consistent with that view</w:t>
      </w:r>
      <w:r w:rsidR="003C463E">
        <w:rPr>
          <w:rFonts w:ascii="Calibri" w:eastAsia="Calibri" w:hAnsi="Calibri" w:cs="Arial"/>
          <w:color w:val="000000"/>
          <w:sz w:val="24"/>
          <w:szCs w:val="24"/>
          <w:lang w:val="en-US"/>
        </w:rPr>
        <w:t>, they</w:t>
      </w:r>
      <w:r w:rsidR="003C463E" w:rsidRPr="0012366F">
        <w:rPr>
          <w:rFonts w:ascii="Calibri" w:eastAsia="Calibri" w:hAnsi="Calibri" w:cs="Arial"/>
          <w:color w:val="000000"/>
          <w:sz w:val="24"/>
          <w:szCs w:val="24"/>
          <w:lang w:val="en-US"/>
        </w:rPr>
        <w:t xml:space="preserve"> are not strong authority for it. Furthermore, I argue as a matter of policy that the common law should join forces with measures emanating from regulators, and play a greater role in responding to </w:t>
      </w:r>
      <w:r w:rsidR="003C463E">
        <w:rPr>
          <w:rFonts w:ascii="Calibri" w:eastAsia="Calibri" w:hAnsi="Calibri" w:cs="Arial"/>
          <w:color w:val="000000"/>
          <w:sz w:val="24"/>
          <w:szCs w:val="24"/>
          <w:lang w:val="en-US"/>
        </w:rPr>
        <w:t>the</w:t>
      </w:r>
      <w:r w:rsidR="003C463E" w:rsidRPr="0012366F">
        <w:rPr>
          <w:rFonts w:ascii="Calibri" w:eastAsia="Calibri" w:hAnsi="Calibri" w:cs="Arial"/>
          <w:color w:val="000000"/>
          <w:sz w:val="24"/>
          <w:szCs w:val="24"/>
          <w:lang w:val="en-US"/>
        </w:rPr>
        <w:t xml:space="preserve"> </w:t>
      </w:r>
      <w:r w:rsidR="003C463E">
        <w:rPr>
          <w:rFonts w:ascii="Calibri" w:eastAsia="Calibri" w:hAnsi="Calibri" w:cs="Arial"/>
          <w:color w:val="000000"/>
          <w:sz w:val="24"/>
          <w:szCs w:val="24"/>
          <w:lang w:val="en-US"/>
        </w:rPr>
        <w:t xml:space="preserve">payment scam </w:t>
      </w:r>
      <w:r w:rsidR="003C463E" w:rsidRPr="0012366F">
        <w:rPr>
          <w:rFonts w:ascii="Calibri" w:eastAsia="Calibri" w:hAnsi="Calibri" w:cs="Arial"/>
          <w:color w:val="000000"/>
          <w:sz w:val="24"/>
          <w:szCs w:val="24"/>
          <w:lang w:val="en-US"/>
        </w:rPr>
        <w:t xml:space="preserve">problem. </w:t>
      </w:r>
    </w:p>
    <w:p w14:paraId="2A8AC0A5" w14:textId="1802E831" w:rsidR="00CF5C11" w:rsidRDefault="00175BBE" w:rsidP="0012366F">
      <w:pPr>
        <w:rPr>
          <w:sz w:val="24"/>
          <w:szCs w:val="24"/>
          <w:lang w:val="en-SG"/>
        </w:rPr>
      </w:pPr>
      <w:r>
        <w:rPr>
          <w:sz w:val="24"/>
          <w:szCs w:val="24"/>
        </w:rPr>
        <w:t xml:space="preserve">Although </w:t>
      </w:r>
      <w:r w:rsidRPr="0012366F">
        <w:rPr>
          <w:sz w:val="24"/>
          <w:szCs w:val="24"/>
        </w:rPr>
        <w:t>authorised scam payments</w:t>
      </w:r>
      <w:r>
        <w:rPr>
          <w:sz w:val="24"/>
          <w:szCs w:val="24"/>
        </w:rPr>
        <w:t xml:space="preserve"> can be made using any retail payment mechanism, most are electronic funds transfers</w:t>
      </w:r>
      <w:r w:rsidR="005C6D96">
        <w:rPr>
          <w:sz w:val="24"/>
          <w:szCs w:val="24"/>
        </w:rPr>
        <w:t xml:space="preserve"> made through </w:t>
      </w:r>
      <w:bookmarkStart w:id="5" w:name="_Hlk76829228"/>
      <w:r w:rsidR="005C6D96">
        <w:rPr>
          <w:sz w:val="24"/>
          <w:szCs w:val="24"/>
        </w:rPr>
        <w:t>internet or mobile phone banking facilities</w:t>
      </w:r>
      <w:bookmarkEnd w:id="5"/>
      <w:r w:rsidR="005C6D96">
        <w:rPr>
          <w:sz w:val="24"/>
          <w:szCs w:val="24"/>
        </w:rPr>
        <w:t xml:space="preserve">. </w:t>
      </w:r>
      <w:r w:rsidR="005C6D96">
        <w:rPr>
          <w:sz w:val="24"/>
          <w:szCs w:val="24"/>
          <w:lang w:val="en-SG"/>
        </w:rPr>
        <w:t>There are a number of reasons</w:t>
      </w:r>
      <w:r w:rsidR="005C6D96">
        <w:rPr>
          <w:sz w:val="24"/>
          <w:szCs w:val="24"/>
          <w:lang w:val="en-SG"/>
        </w:rPr>
        <w:t xml:space="preserve"> </w:t>
      </w:r>
      <w:r w:rsidR="004C1016">
        <w:rPr>
          <w:sz w:val="24"/>
          <w:szCs w:val="24"/>
          <w:lang w:val="en-SG"/>
        </w:rPr>
        <w:t>why most scams involve funds transfers</w:t>
      </w:r>
      <w:r w:rsidR="005C6D96">
        <w:rPr>
          <w:sz w:val="24"/>
          <w:szCs w:val="24"/>
          <w:lang w:val="en-SG"/>
        </w:rPr>
        <w:t>, for example, cheques are less popular than they used to be,</w:t>
      </w:r>
      <w:r w:rsidR="005C6D96">
        <w:rPr>
          <w:rStyle w:val="FootnoteReference"/>
          <w:sz w:val="24"/>
          <w:szCs w:val="24"/>
          <w:lang w:val="en-SG"/>
        </w:rPr>
        <w:footnoteReference w:id="8"/>
      </w:r>
      <w:r w:rsidR="005C6D96">
        <w:rPr>
          <w:sz w:val="24"/>
          <w:szCs w:val="24"/>
          <w:lang w:val="en-SG"/>
        </w:rPr>
        <w:t xml:space="preserve"> card</w:t>
      </w:r>
      <w:r w:rsidR="004C1016">
        <w:rPr>
          <w:sz w:val="24"/>
          <w:szCs w:val="24"/>
          <w:lang w:val="en-SG"/>
        </w:rPr>
        <w:t xml:space="preserve"> transaction</w:t>
      </w:r>
      <w:r w:rsidR="005C6D96">
        <w:rPr>
          <w:sz w:val="24"/>
          <w:szCs w:val="24"/>
          <w:lang w:val="en-SG"/>
        </w:rPr>
        <w:t xml:space="preserve">s require the payee (the scammer) to have access to card infrastructure, and it is </w:t>
      </w:r>
      <w:r w:rsidR="005C6D96">
        <w:rPr>
          <w:sz w:val="24"/>
          <w:szCs w:val="24"/>
          <w:lang w:val="en-SG"/>
        </w:rPr>
        <w:t>no doubt</w:t>
      </w:r>
      <w:r w:rsidR="005C6D96">
        <w:rPr>
          <w:sz w:val="24"/>
          <w:szCs w:val="24"/>
          <w:lang w:val="en-SG"/>
        </w:rPr>
        <w:t xml:space="preserve"> harder to convince a victim to establish a direct debit in favour of a scammer.</w:t>
      </w:r>
      <w:r w:rsidR="005C6D96" w:rsidRPr="005C6D96">
        <w:rPr>
          <w:sz w:val="24"/>
          <w:szCs w:val="24"/>
        </w:rPr>
        <w:t xml:space="preserve"> </w:t>
      </w:r>
      <w:r w:rsidR="005C6D96">
        <w:rPr>
          <w:sz w:val="24"/>
          <w:szCs w:val="24"/>
        </w:rPr>
        <w:t xml:space="preserve">I </w:t>
      </w:r>
      <w:r w:rsidR="005C6D96">
        <w:rPr>
          <w:sz w:val="24"/>
          <w:szCs w:val="24"/>
          <w:lang w:val="en-SG"/>
        </w:rPr>
        <w:t xml:space="preserve">focus my discussion, therefore, on </w:t>
      </w:r>
      <w:r w:rsidR="005C6D96">
        <w:rPr>
          <w:sz w:val="24"/>
          <w:szCs w:val="24"/>
          <w:lang w:val="en-SG"/>
        </w:rPr>
        <w:t>so-called ‘push’ transfer</w:t>
      </w:r>
      <w:r w:rsidR="005C6D96">
        <w:rPr>
          <w:sz w:val="24"/>
          <w:szCs w:val="24"/>
          <w:lang w:val="en-SG"/>
        </w:rPr>
        <w:t xml:space="preserve"> scams</w:t>
      </w:r>
      <w:r w:rsidR="005C6D96">
        <w:rPr>
          <w:sz w:val="24"/>
          <w:szCs w:val="24"/>
          <w:lang w:val="en-SG"/>
        </w:rPr>
        <w:t xml:space="preserve"> which </w:t>
      </w:r>
      <w:r w:rsidR="00135B73">
        <w:rPr>
          <w:sz w:val="24"/>
          <w:szCs w:val="24"/>
          <w:lang w:val="en-SG"/>
        </w:rPr>
        <w:t xml:space="preserve">involve </w:t>
      </w:r>
      <w:r w:rsidR="00135B73" w:rsidRPr="0067771A">
        <w:rPr>
          <w:sz w:val="24"/>
          <w:szCs w:val="24"/>
          <w:lang w:val="en-SG"/>
        </w:rPr>
        <w:t xml:space="preserve">the paying customer </w:t>
      </w:r>
      <w:r w:rsidR="00135B73">
        <w:rPr>
          <w:sz w:val="24"/>
          <w:szCs w:val="24"/>
          <w:lang w:val="en-SG"/>
        </w:rPr>
        <w:t xml:space="preserve">sending </w:t>
      </w:r>
      <w:r w:rsidR="00135B73" w:rsidRPr="0067771A">
        <w:rPr>
          <w:sz w:val="24"/>
          <w:szCs w:val="24"/>
          <w:lang w:val="en-SG"/>
        </w:rPr>
        <w:t>the payment instruction to her/his bank</w:t>
      </w:r>
      <w:r w:rsidR="003C463E">
        <w:rPr>
          <w:sz w:val="24"/>
          <w:szCs w:val="24"/>
          <w:lang w:val="en-SG"/>
        </w:rPr>
        <w:t xml:space="preserve">, often via </w:t>
      </w:r>
      <w:r w:rsidR="003C463E" w:rsidRPr="003C463E">
        <w:rPr>
          <w:sz w:val="24"/>
          <w:szCs w:val="24"/>
          <w:lang w:val="en-SG"/>
        </w:rPr>
        <w:t xml:space="preserve">internet or mobile phone banking </w:t>
      </w:r>
      <w:r w:rsidR="003C463E">
        <w:rPr>
          <w:sz w:val="24"/>
          <w:szCs w:val="24"/>
          <w:lang w:val="en-SG"/>
        </w:rPr>
        <w:t>services</w:t>
      </w:r>
      <w:r w:rsidR="00135B73" w:rsidRPr="0067771A">
        <w:rPr>
          <w:sz w:val="24"/>
          <w:szCs w:val="24"/>
          <w:lang w:val="en-SG"/>
        </w:rPr>
        <w:t>.</w:t>
      </w:r>
      <w:r w:rsidR="00135B73" w:rsidRPr="0067771A">
        <w:rPr>
          <w:sz w:val="24"/>
          <w:szCs w:val="24"/>
          <w:vertAlign w:val="superscript"/>
          <w:lang w:val="en-SG"/>
        </w:rPr>
        <w:footnoteReference w:id="9"/>
      </w:r>
      <w:r w:rsidR="0012366F" w:rsidRPr="0012366F">
        <w:rPr>
          <w:sz w:val="24"/>
          <w:szCs w:val="24"/>
        </w:rPr>
        <w:t xml:space="preserve"> </w:t>
      </w:r>
      <w:r w:rsidR="00135B73" w:rsidRPr="00135B73">
        <w:rPr>
          <w:sz w:val="24"/>
          <w:szCs w:val="24"/>
        </w:rPr>
        <w:t xml:space="preserve">By contrast, </w:t>
      </w:r>
      <w:r>
        <w:rPr>
          <w:sz w:val="24"/>
          <w:szCs w:val="24"/>
        </w:rPr>
        <w:t>‘</w:t>
      </w:r>
      <w:r w:rsidR="00135B73" w:rsidRPr="00135B73">
        <w:rPr>
          <w:sz w:val="24"/>
          <w:szCs w:val="24"/>
        </w:rPr>
        <w:t>pull</w:t>
      </w:r>
      <w:r>
        <w:rPr>
          <w:sz w:val="24"/>
          <w:szCs w:val="24"/>
        </w:rPr>
        <w:t xml:space="preserve">’ </w:t>
      </w:r>
      <w:r w:rsidR="00135B73" w:rsidRPr="00135B73">
        <w:rPr>
          <w:sz w:val="24"/>
          <w:szCs w:val="24"/>
        </w:rPr>
        <w:t xml:space="preserve">payments involve the payment instruction being furnished to the payee who presents it to the paying bank. Cheques, cards and direct debits are the main examples. </w:t>
      </w:r>
      <w:r w:rsidR="003C463E">
        <w:rPr>
          <w:sz w:val="24"/>
          <w:szCs w:val="24"/>
        </w:rPr>
        <w:t xml:space="preserve">The bank’s duty of care, however, </w:t>
      </w:r>
      <w:r w:rsidR="004C1016">
        <w:rPr>
          <w:sz w:val="24"/>
          <w:szCs w:val="24"/>
        </w:rPr>
        <w:t xml:space="preserve">can apply to any </w:t>
      </w:r>
      <w:r w:rsidR="003C463E">
        <w:rPr>
          <w:sz w:val="24"/>
          <w:szCs w:val="24"/>
        </w:rPr>
        <w:t>payment</w:t>
      </w:r>
      <w:r w:rsidR="004C1016">
        <w:rPr>
          <w:sz w:val="24"/>
          <w:szCs w:val="24"/>
        </w:rPr>
        <w:t xml:space="preserve"> mechanism</w:t>
      </w:r>
      <w:r w:rsidR="003C463E">
        <w:rPr>
          <w:sz w:val="24"/>
          <w:szCs w:val="24"/>
        </w:rPr>
        <w:t>.</w:t>
      </w:r>
    </w:p>
    <w:p w14:paraId="21C17D95" w14:textId="6DB56DBA" w:rsidR="0012366F" w:rsidRPr="0012366F" w:rsidRDefault="004C1016" w:rsidP="0012366F">
      <w:pPr>
        <w:rPr>
          <w:sz w:val="24"/>
          <w:szCs w:val="24"/>
        </w:rPr>
      </w:pPr>
      <w:r>
        <w:rPr>
          <w:sz w:val="24"/>
          <w:szCs w:val="24"/>
        </w:rPr>
        <w:t>My</w:t>
      </w:r>
      <w:r w:rsidR="0012366F" w:rsidRPr="0012366F">
        <w:rPr>
          <w:sz w:val="24"/>
          <w:szCs w:val="24"/>
        </w:rPr>
        <w:t xml:space="preserve"> discussion focusses specifically on banks since they are the dominant payment services providers in many economies, particularly for larger payments. The issues raised are no doubt relevant also for other payment services providers, although the common law on the nature and extent of their duties is less developed. </w:t>
      </w:r>
      <w:r w:rsidR="006948B6">
        <w:rPr>
          <w:sz w:val="24"/>
          <w:szCs w:val="24"/>
        </w:rPr>
        <w:t xml:space="preserve">The key </w:t>
      </w:r>
      <w:r w:rsidR="00F26F02">
        <w:rPr>
          <w:sz w:val="24"/>
          <w:szCs w:val="24"/>
        </w:rPr>
        <w:t>entity</w:t>
      </w:r>
      <w:r w:rsidR="006948B6">
        <w:rPr>
          <w:sz w:val="24"/>
          <w:szCs w:val="24"/>
        </w:rPr>
        <w:t xml:space="preserve"> for </w:t>
      </w:r>
      <w:r>
        <w:rPr>
          <w:sz w:val="24"/>
          <w:szCs w:val="24"/>
        </w:rPr>
        <w:t>this discussion</w:t>
      </w:r>
      <w:r w:rsidR="006948B6">
        <w:rPr>
          <w:sz w:val="24"/>
          <w:szCs w:val="24"/>
        </w:rPr>
        <w:t xml:space="preserve"> is </w:t>
      </w:r>
      <w:r w:rsidR="0012366F" w:rsidRPr="0012366F">
        <w:rPr>
          <w:sz w:val="24"/>
          <w:szCs w:val="24"/>
        </w:rPr>
        <w:t>the bank which makes a payment on behalf of a customer, which I call the paying bank. The bank that receives the payment for a customer is called the receiving bank.</w:t>
      </w:r>
      <w:r w:rsidR="0012366F">
        <w:rPr>
          <w:rStyle w:val="FootnoteReference"/>
          <w:sz w:val="24"/>
          <w:szCs w:val="24"/>
        </w:rPr>
        <w:footnoteReference w:id="10"/>
      </w:r>
      <w:r w:rsidR="0012366F" w:rsidRPr="0012366F">
        <w:rPr>
          <w:sz w:val="24"/>
          <w:szCs w:val="24"/>
        </w:rPr>
        <w:t xml:space="preserve"> The primary jurisdictional focus is England and Wales, </w:t>
      </w:r>
      <w:r w:rsidR="005F7804">
        <w:rPr>
          <w:sz w:val="24"/>
          <w:szCs w:val="24"/>
        </w:rPr>
        <w:t>but</w:t>
      </w:r>
      <w:r w:rsidR="0012366F" w:rsidRPr="0012366F">
        <w:rPr>
          <w:sz w:val="24"/>
          <w:szCs w:val="24"/>
        </w:rPr>
        <w:t xml:space="preserve"> I also refer to other common law jurisdictions which have a shared legal heritage.</w:t>
      </w:r>
    </w:p>
    <w:p w14:paraId="498DA515" w14:textId="7FA06B61" w:rsidR="005C0AAA" w:rsidRPr="0012366F" w:rsidRDefault="0012366F" w:rsidP="0012366F">
      <w:pPr>
        <w:rPr>
          <w:sz w:val="24"/>
          <w:szCs w:val="24"/>
        </w:rPr>
      </w:pPr>
      <w:r w:rsidRPr="0012366F">
        <w:rPr>
          <w:sz w:val="24"/>
          <w:szCs w:val="24"/>
        </w:rPr>
        <w:t xml:space="preserve">Section II </w:t>
      </w:r>
      <w:r w:rsidR="005F7804">
        <w:rPr>
          <w:sz w:val="24"/>
          <w:szCs w:val="24"/>
        </w:rPr>
        <w:t>gives</w:t>
      </w:r>
      <w:r w:rsidRPr="0012366F">
        <w:rPr>
          <w:sz w:val="24"/>
          <w:szCs w:val="24"/>
        </w:rPr>
        <w:t xml:space="preserve"> an overview of the authorised payment scam problem, and how it is being tackled by regulators. Section III focusses on the bank’s duty of care when processing payments and in particular, the extent to which this duty of care assists in combatting authorised payment scams. The section is divided into two sub-sections that consider (a) </w:t>
      </w:r>
      <w:r w:rsidR="00921529">
        <w:rPr>
          <w:sz w:val="24"/>
          <w:szCs w:val="24"/>
        </w:rPr>
        <w:lastRenderedPageBreak/>
        <w:t xml:space="preserve">key cases in the recognition </w:t>
      </w:r>
      <w:r w:rsidRPr="0012366F">
        <w:rPr>
          <w:sz w:val="24"/>
          <w:szCs w:val="24"/>
        </w:rPr>
        <w:t xml:space="preserve">of the </w:t>
      </w:r>
      <w:r w:rsidR="004C1016">
        <w:rPr>
          <w:sz w:val="24"/>
          <w:szCs w:val="24"/>
        </w:rPr>
        <w:t xml:space="preserve">bank’s </w:t>
      </w:r>
      <w:r w:rsidRPr="0012366F">
        <w:rPr>
          <w:sz w:val="24"/>
          <w:szCs w:val="24"/>
        </w:rPr>
        <w:t xml:space="preserve">duty of care </w:t>
      </w:r>
      <w:r w:rsidR="004C1016">
        <w:rPr>
          <w:sz w:val="24"/>
          <w:szCs w:val="24"/>
        </w:rPr>
        <w:t xml:space="preserve">in the </w:t>
      </w:r>
      <w:r w:rsidRPr="0012366F">
        <w:rPr>
          <w:sz w:val="24"/>
          <w:szCs w:val="24"/>
        </w:rPr>
        <w:t>payment</w:t>
      </w:r>
      <w:r w:rsidR="004C1016">
        <w:rPr>
          <w:sz w:val="24"/>
          <w:szCs w:val="24"/>
        </w:rPr>
        <w:t xml:space="preserve"> context</w:t>
      </w:r>
      <w:r w:rsidRPr="0012366F">
        <w:rPr>
          <w:sz w:val="24"/>
          <w:szCs w:val="24"/>
        </w:rPr>
        <w:t xml:space="preserve">; (b) the decision in </w:t>
      </w:r>
      <w:bookmarkStart w:id="6" w:name="_Hlk74124248"/>
      <w:r w:rsidRPr="0012366F">
        <w:rPr>
          <w:rFonts w:ascii="Calibri" w:eastAsia="Calibri" w:hAnsi="Calibri" w:cs="Arial"/>
          <w:i/>
          <w:iCs/>
          <w:color w:val="000000"/>
          <w:sz w:val="24"/>
          <w:szCs w:val="24"/>
          <w:lang w:val="en-US"/>
        </w:rPr>
        <w:t>Philipp</w:t>
      </w:r>
      <w:bookmarkEnd w:id="6"/>
      <w:r w:rsidRPr="0012366F">
        <w:rPr>
          <w:sz w:val="24"/>
          <w:szCs w:val="24"/>
        </w:rPr>
        <w:t xml:space="preserve">. Section IV critiques the position taken in </w:t>
      </w:r>
      <w:r w:rsidRPr="0012366F">
        <w:rPr>
          <w:i/>
          <w:iCs/>
          <w:sz w:val="24"/>
          <w:szCs w:val="24"/>
        </w:rPr>
        <w:t>Philipp</w:t>
      </w:r>
      <w:r w:rsidRPr="0012366F">
        <w:rPr>
          <w:sz w:val="24"/>
          <w:szCs w:val="24"/>
        </w:rPr>
        <w:t xml:space="preserve">, and argues in favour of a duty that </w:t>
      </w:r>
      <w:r w:rsidR="005F7804">
        <w:rPr>
          <w:sz w:val="24"/>
          <w:szCs w:val="24"/>
        </w:rPr>
        <w:t xml:space="preserve">can </w:t>
      </w:r>
      <w:r w:rsidRPr="0012366F">
        <w:rPr>
          <w:sz w:val="24"/>
          <w:szCs w:val="24"/>
        </w:rPr>
        <w:t>respond to authorised payment scams</w:t>
      </w:r>
      <w:r w:rsidRPr="0012366F">
        <w:rPr>
          <w:i/>
          <w:iCs/>
          <w:sz w:val="24"/>
          <w:szCs w:val="24"/>
        </w:rPr>
        <w:t xml:space="preserve">. </w:t>
      </w:r>
      <w:r w:rsidRPr="0012366F">
        <w:rPr>
          <w:sz w:val="24"/>
          <w:szCs w:val="24"/>
        </w:rPr>
        <w:t>Section V concludes.</w:t>
      </w:r>
    </w:p>
    <w:p w14:paraId="526BCDB0" w14:textId="7A539C9B" w:rsidR="005C0AAA" w:rsidRDefault="00802695" w:rsidP="007E0D63">
      <w:pPr>
        <w:pStyle w:val="ListParagraph"/>
        <w:numPr>
          <w:ilvl w:val="0"/>
          <w:numId w:val="3"/>
        </w:numPr>
        <w:rPr>
          <w:sz w:val="24"/>
          <w:szCs w:val="24"/>
        </w:rPr>
      </w:pPr>
      <w:r>
        <w:rPr>
          <w:sz w:val="24"/>
          <w:szCs w:val="24"/>
        </w:rPr>
        <w:t>Overview</w:t>
      </w:r>
      <w:r w:rsidR="006D78B9">
        <w:rPr>
          <w:sz w:val="24"/>
          <w:szCs w:val="24"/>
        </w:rPr>
        <w:t xml:space="preserve">: </w:t>
      </w:r>
      <w:r w:rsidR="005C0AAA">
        <w:rPr>
          <w:sz w:val="24"/>
          <w:szCs w:val="24"/>
        </w:rPr>
        <w:t xml:space="preserve">Payment Scams </w:t>
      </w:r>
      <w:r w:rsidR="006D78B9">
        <w:rPr>
          <w:sz w:val="24"/>
          <w:szCs w:val="24"/>
        </w:rPr>
        <w:t xml:space="preserve">and </w:t>
      </w:r>
      <w:r w:rsidR="00985A3F">
        <w:rPr>
          <w:sz w:val="24"/>
          <w:szCs w:val="24"/>
        </w:rPr>
        <w:t xml:space="preserve">Government </w:t>
      </w:r>
      <w:r w:rsidR="006D78B9">
        <w:rPr>
          <w:sz w:val="24"/>
          <w:szCs w:val="24"/>
        </w:rPr>
        <w:t>Responses</w:t>
      </w:r>
    </w:p>
    <w:p w14:paraId="21393796" w14:textId="5B526B67" w:rsidR="0012366F" w:rsidRDefault="00802695" w:rsidP="0012366F">
      <w:pPr>
        <w:rPr>
          <w:sz w:val="24"/>
          <w:szCs w:val="24"/>
          <w:lang w:val="en-SG"/>
        </w:rPr>
      </w:pPr>
      <w:r>
        <w:rPr>
          <w:sz w:val="24"/>
          <w:szCs w:val="24"/>
          <w:lang w:val="en-SG"/>
        </w:rPr>
        <w:t>A</w:t>
      </w:r>
      <w:r w:rsidR="0012366F">
        <w:rPr>
          <w:sz w:val="24"/>
          <w:szCs w:val="24"/>
          <w:lang w:val="en-SG"/>
        </w:rPr>
        <w:t xml:space="preserve">uthorised payment scams </w:t>
      </w:r>
      <w:r>
        <w:rPr>
          <w:sz w:val="24"/>
          <w:szCs w:val="24"/>
          <w:lang w:val="en-SG"/>
        </w:rPr>
        <w:t xml:space="preserve">can take an almost infinite variety of forms. </w:t>
      </w:r>
      <w:r w:rsidR="0012366F">
        <w:rPr>
          <w:sz w:val="24"/>
          <w:szCs w:val="24"/>
          <w:lang w:val="en-SG"/>
        </w:rPr>
        <w:t xml:space="preserve">Common examples are purchase and investment scams </w:t>
      </w:r>
      <w:r w:rsidR="00921529">
        <w:rPr>
          <w:sz w:val="24"/>
          <w:szCs w:val="24"/>
          <w:lang w:val="en-SG"/>
        </w:rPr>
        <w:t>enticing</w:t>
      </w:r>
      <w:r w:rsidR="0012366F">
        <w:rPr>
          <w:sz w:val="24"/>
          <w:szCs w:val="24"/>
          <w:lang w:val="en-SG"/>
        </w:rPr>
        <w:t xml:space="preserve"> payment for non-existent </w:t>
      </w:r>
      <w:r w:rsidR="004C1016">
        <w:rPr>
          <w:sz w:val="24"/>
          <w:szCs w:val="24"/>
          <w:lang w:val="en-SG"/>
        </w:rPr>
        <w:t>goods</w:t>
      </w:r>
      <w:r w:rsidR="004C1016">
        <w:rPr>
          <w:sz w:val="24"/>
          <w:szCs w:val="24"/>
          <w:lang w:val="en-SG"/>
        </w:rPr>
        <w:t xml:space="preserve">, </w:t>
      </w:r>
      <w:r w:rsidR="004C1016">
        <w:rPr>
          <w:sz w:val="24"/>
          <w:szCs w:val="24"/>
          <w:lang w:val="en-SG"/>
        </w:rPr>
        <w:t>services</w:t>
      </w:r>
      <w:r w:rsidR="004C1016">
        <w:rPr>
          <w:sz w:val="24"/>
          <w:szCs w:val="24"/>
          <w:lang w:val="en-SG"/>
        </w:rPr>
        <w:t xml:space="preserve"> or </w:t>
      </w:r>
      <w:r w:rsidR="0012366F">
        <w:rPr>
          <w:sz w:val="24"/>
          <w:szCs w:val="24"/>
          <w:lang w:val="en-SG"/>
        </w:rPr>
        <w:t>financial products, re-direction scams in which a</w:t>
      </w:r>
      <w:r w:rsidR="005F7804">
        <w:rPr>
          <w:sz w:val="24"/>
          <w:szCs w:val="24"/>
          <w:lang w:val="en-SG"/>
        </w:rPr>
        <w:t xml:space="preserve"> legitimate</w:t>
      </w:r>
      <w:r w:rsidR="0012366F">
        <w:rPr>
          <w:sz w:val="24"/>
          <w:szCs w:val="24"/>
          <w:lang w:val="en-SG"/>
        </w:rPr>
        <w:t xml:space="preserve"> payee’s account details are switched with those of the fraudster</w:t>
      </w:r>
      <w:r>
        <w:rPr>
          <w:sz w:val="24"/>
          <w:szCs w:val="24"/>
          <w:lang w:val="en-SG"/>
        </w:rPr>
        <w:t>s</w:t>
      </w:r>
      <w:r w:rsidR="0012366F">
        <w:rPr>
          <w:sz w:val="24"/>
          <w:szCs w:val="24"/>
          <w:lang w:val="en-SG"/>
        </w:rPr>
        <w:t>,</w:t>
      </w:r>
      <w:r w:rsidR="0012366F">
        <w:rPr>
          <w:rStyle w:val="FootnoteReference"/>
          <w:sz w:val="24"/>
          <w:szCs w:val="24"/>
          <w:lang w:val="en-SG"/>
        </w:rPr>
        <w:footnoteReference w:id="11"/>
      </w:r>
      <w:r w:rsidR="0012366F">
        <w:rPr>
          <w:sz w:val="24"/>
          <w:szCs w:val="24"/>
          <w:lang w:val="en-SG"/>
        </w:rPr>
        <w:t xml:space="preserve"> and impersonation scams in which scammers pos</w:t>
      </w:r>
      <w:r w:rsidR="005F7804">
        <w:rPr>
          <w:sz w:val="24"/>
          <w:szCs w:val="24"/>
          <w:lang w:val="en-SG"/>
        </w:rPr>
        <w:t>e</w:t>
      </w:r>
      <w:r w:rsidR="0012366F">
        <w:rPr>
          <w:sz w:val="24"/>
          <w:szCs w:val="24"/>
          <w:lang w:val="en-SG"/>
        </w:rPr>
        <w:t xml:space="preserve"> as law enforcement</w:t>
      </w:r>
      <w:r w:rsidR="00CC57F5">
        <w:rPr>
          <w:sz w:val="24"/>
          <w:szCs w:val="24"/>
          <w:lang w:val="en-SG"/>
        </w:rPr>
        <w:t xml:space="preserve">, </w:t>
      </w:r>
      <w:r w:rsidR="005F7804">
        <w:rPr>
          <w:sz w:val="24"/>
          <w:szCs w:val="24"/>
          <w:lang w:val="en-SG"/>
        </w:rPr>
        <w:t xml:space="preserve">bank </w:t>
      </w:r>
      <w:r w:rsidR="00CC57F5">
        <w:rPr>
          <w:sz w:val="24"/>
          <w:szCs w:val="24"/>
          <w:lang w:val="en-SG"/>
        </w:rPr>
        <w:t xml:space="preserve">or other </w:t>
      </w:r>
      <w:r w:rsidR="0012366F">
        <w:rPr>
          <w:sz w:val="24"/>
          <w:szCs w:val="24"/>
          <w:lang w:val="en-SG"/>
        </w:rPr>
        <w:t xml:space="preserve">officers </w:t>
      </w:r>
      <w:r w:rsidR="005F7804">
        <w:rPr>
          <w:sz w:val="24"/>
          <w:szCs w:val="24"/>
          <w:lang w:val="en-SG"/>
        </w:rPr>
        <w:t xml:space="preserve">and </w:t>
      </w:r>
      <w:r w:rsidR="0012366F">
        <w:rPr>
          <w:sz w:val="24"/>
          <w:szCs w:val="24"/>
          <w:lang w:val="en-SG"/>
        </w:rPr>
        <w:t xml:space="preserve">extract monies </w:t>
      </w:r>
      <w:r w:rsidR="00CC57F5">
        <w:rPr>
          <w:sz w:val="24"/>
          <w:szCs w:val="24"/>
          <w:lang w:val="en-SG"/>
        </w:rPr>
        <w:t xml:space="preserve">on </w:t>
      </w:r>
      <w:r w:rsidR="0012366F">
        <w:rPr>
          <w:sz w:val="24"/>
          <w:szCs w:val="24"/>
          <w:lang w:val="en-SG"/>
        </w:rPr>
        <w:t xml:space="preserve">spurious </w:t>
      </w:r>
      <w:r w:rsidR="00CC57F5">
        <w:rPr>
          <w:sz w:val="24"/>
          <w:szCs w:val="24"/>
          <w:lang w:val="en-SG"/>
        </w:rPr>
        <w:t>grounds</w:t>
      </w:r>
      <w:r w:rsidR="0012366F">
        <w:rPr>
          <w:sz w:val="24"/>
          <w:szCs w:val="24"/>
          <w:lang w:val="en-SG"/>
        </w:rPr>
        <w:t>.</w:t>
      </w:r>
      <w:r w:rsidR="0012366F">
        <w:rPr>
          <w:rStyle w:val="FootnoteReference"/>
          <w:sz w:val="24"/>
          <w:szCs w:val="24"/>
          <w:lang w:val="en-SG"/>
        </w:rPr>
        <w:footnoteReference w:id="12"/>
      </w:r>
      <w:r w:rsidR="0012366F">
        <w:rPr>
          <w:sz w:val="24"/>
          <w:szCs w:val="24"/>
          <w:lang w:val="en-SG"/>
        </w:rPr>
        <w:t xml:space="preserve"> Many of these scams are elaborate and convincing</w:t>
      </w:r>
      <w:r w:rsidR="00921529">
        <w:rPr>
          <w:sz w:val="24"/>
          <w:szCs w:val="24"/>
          <w:lang w:val="en-SG"/>
        </w:rPr>
        <w:t>,</w:t>
      </w:r>
      <w:r w:rsidR="0012366F">
        <w:rPr>
          <w:sz w:val="24"/>
          <w:szCs w:val="24"/>
          <w:lang w:val="en-SG"/>
        </w:rPr>
        <w:t xml:space="preserve"> </w:t>
      </w:r>
      <w:r w:rsidR="00921529">
        <w:rPr>
          <w:sz w:val="24"/>
          <w:szCs w:val="24"/>
          <w:lang w:val="en-SG"/>
        </w:rPr>
        <w:t>and s</w:t>
      </w:r>
      <w:r w:rsidR="0012366F">
        <w:rPr>
          <w:sz w:val="24"/>
          <w:szCs w:val="24"/>
          <w:lang w:val="en-SG"/>
        </w:rPr>
        <w:t>tatistics from the UK,</w:t>
      </w:r>
      <w:r w:rsidR="002572EF">
        <w:rPr>
          <w:rStyle w:val="FootnoteReference"/>
          <w:sz w:val="24"/>
          <w:szCs w:val="24"/>
          <w:lang w:val="en-SG"/>
        </w:rPr>
        <w:footnoteReference w:id="13"/>
      </w:r>
      <w:r w:rsidR="0012366F">
        <w:rPr>
          <w:sz w:val="24"/>
          <w:szCs w:val="24"/>
          <w:lang w:val="en-SG"/>
        </w:rPr>
        <w:t xml:space="preserve"> Australia,</w:t>
      </w:r>
      <w:r w:rsidR="0012366F">
        <w:rPr>
          <w:rStyle w:val="FootnoteReference"/>
          <w:sz w:val="24"/>
          <w:szCs w:val="24"/>
          <w:lang w:val="en-SG"/>
        </w:rPr>
        <w:footnoteReference w:id="14"/>
      </w:r>
      <w:r w:rsidR="0012366F">
        <w:rPr>
          <w:sz w:val="24"/>
          <w:szCs w:val="24"/>
          <w:lang w:val="en-SG"/>
        </w:rPr>
        <w:t xml:space="preserve"> and Singapore,</w:t>
      </w:r>
      <w:r w:rsidR="0012366F">
        <w:rPr>
          <w:rStyle w:val="FootnoteReference"/>
          <w:sz w:val="24"/>
          <w:szCs w:val="24"/>
          <w:lang w:val="en-SG"/>
        </w:rPr>
        <w:footnoteReference w:id="15"/>
      </w:r>
      <w:r w:rsidR="0012366F">
        <w:rPr>
          <w:sz w:val="24"/>
          <w:szCs w:val="24"/>
          <w:lang w:val="en-SG"/>
        </w:rPr>
        <w:t xml:space="preserve"> show an alarming rise in </w:t>
      </w:r>
      <w:r w:rsidR="00CC57F5">
        <w:rPr>
          <w:sz w:val="24"/>
          <w:szCs w:val="24"/>
          <w:lang w:val="en-SG"/>
        </w:rPr>
        <w:t xml:space="preserve">the </w:t>
      </w:r>
      <w:r w:rsidR="00820FFE">
        <w:rPr>
          <w:sz w:val="24"/>
          <w:szCs w:val="24"/>
          <w:lang w:val="en-SG"/>
        </w:rPr>
        <w:t>number</w:t>
      </w:r>
      <w:r w:rsidR="00CC57F5">
        <w:rPr>
          <w:sz w:val="24"/>
          <w:szCs w:val="24"/>
          <w:lang w:val="en-SG"/>
        </w:rPr>
        <w:t xml:space="preserve"> of people succumbing to them</w:t>
      </w:r>
      <w:r w:rsidR="0012366F">
        <w:rPr>
          <w:sz w:val="24"/>
          <w:szCs w:val="24"/>
          <w:lang w:val="en-SG"/>
        </w:rPr>
        <w:t xml:space="preserve">. The </w:t>
      </w:r>
      <w:r w:rsidR="005F7804">
        <w:rPr>
          <w:sz w:val="24"/>
          <w:szCs w:val="24"/>
          <w:lang w:val="en-SG"/>
        </w:rPr>
        <w:t xml:space="preserve">true </w:t>
      </w:r>
      <w:r w:rsidR="0012366F">
        <w:rPr>
          <w:sz w:val="24"/>
          <w:szCs w:val="24"/>
          <w:lang w:val="en-SG"/>
        </w:rPr>
        <w:t>number</w:t>
      </w:r>
      <w:r w:rsidR="005F7804">
        <w:rPr>
          <w:sz w:val="24"/>
          <w:szCs w:val="24"/>
          <w:lang w:val="en-SG"/>
        </w:rPr>
        <w:t>s</w:t>
      </w:r>
      <w:r w:rsidR="0012366F">
        <w:rPr>
          <w:sz w:val="24"/>
          <w:szCs w:val="24"/>
          <w:lang w:val="en-SG"/>
        </w:rPr>
        <w:t xml:space="preserve"> are likely to be </w:t>
      </w:r>
      <w:r w:rsidR="005F7804">
        <w:rPr>
          <w:sz w:val="24"/>
          <w:szCs w:val="24"/>
          <w:lang w:val="en-SG"/>
        </w:rPr>
        <w:t>even</w:t>
      </w:r>
      <w:r w:rsidR="0012366F">
        <w:rPr>
          <w:sz w:val="24"/>
          <w:szCs w:val="24"/>
          <w:lang w:val="en-SG"/>
        </w:rPr>
        <w:t xml:space="preserve"> higher as </w:t>
      </w:r>
      <w:r w:rsidR="00820FFE">
        <w:rPr>
          <w:sz w:val="24"/>
          <w:szCs w:val="24"/>
          <w:lang w:val="en-SG"/>
        </w:rPr>
        <w:t>many</w:t>
      </w:r>
      <w:r w:rsidR="0012366F">
        <w:rPr>
          <w:sz w:val="24"/>
          <w:szCs w:val="24"/>
          <w:lang w:val="en-SG"/>
        </w:rPr>
        <w:t xml:space="preserve"> scams go unreported.</w:t>
      </w:r>
      <w:r w:rsidR="0012366F">
        <w:rPr>
          <w:rStyle w:val="FootnoteReference"/>
          <w:sz w:val="24"/>
          <w:szCs w:val="24"/>
          <w:lang w:val="en-SG"/>
        </w:rPr>
        <w:footnoteReference w:id="16"/>
      </w:r>
      <w:r w:rsidR="0012366F">
        <w:rPr>
          <w:sz w:val="24"/>
          <w:szCs w:val="24"/>
          <w:lang w:val="en-SG"/>
        </w:rPr>
        <w:t xml:space="preserve"> </w:t>
      </w:r>
    </w:p>
    <w:p w14:paraId="2B16461E" w14:textId="47BE2418" w:rsidR="0012366F" w:rsidRPr="00EE0BE6" w:rsidRDefault="0012366F" w:rsidP="0012366F">
      <w:pPr>
        <w:rPr>
          <w:sz w:val="24"/>
          <w:szCs w:val="24"/>
          <w:lang w:val="en-SG"/>
        </w:rPr>
      </w:pPr>
      <w:r w:rsidRPr="00A4398B">
        <w:rPr>
          <w:sz w:val="24"/>
          <w:szCs w:val="24"/>
          <w:lang w:val="en-SG"/>
        </w:rPr>
        <w:t xml:space="preserve">Authorised scam payments can be contrasted with unauthorised payments in which scammers </w:t>
      </w:r>
      <w:r>
        <w:rPr>
          <w:sz w:val="24"/>
          <w:szCs w:val="24"/>
          <w:lang w:val="en-SG"/>
        </w:rPr>
        <w:t xml:space="preserve">deceive banks into making payments by </w:t>
      </w:r>
      <w:r w:rsidRPr="001D0BE8">
        <w:rPr>
          <w:sz w:val="24"/>
          <w:szCs w:val="24"/>
          <w:lang w:val="en-SG"/>
        </w:rPr>
        <w:t>forg</w:t>
      </w:r>
      <w:r>
        <w:rPr>
          <w:sz w:val="24"/>
          <w:szCs w:val="24"/>
          <w:lang w:val="en-SG"/>
        </w:rPr>
        <w:t>ing sign</w:t>
      </w:r>
      <w:r w:rsidRPr="001D0BE8">
        <w:rPr>
          <w:sz w:val="24"/>
          <w:szCs w:val="24"/>
          <w:lang w:val="en-SG"/>
        </w:rPr>
        <w:t>ature</w:t>
      </w:r>
      <w:r>
        <w:rPr>
          <w:sz w:val="24"/>
          <w:szCs w:val="24"/>
          <w:lang w:val="en-SG"/>
        </w:rPr>
        <w:t>s</w:t>
      </w:r>
      <w:r w:rsidRPr="001D0BE8">
        <w:rPr>
          <w:sz w:val="24"/>
          <w:szCs w:val="24"/>
          <w:lang w:val="en-SG"/>
        </w:rPr>
        <w:t xml:space="preserve"> </w:t>
      </w:r>
      <w:r>
        <w:rPr>
          <w:sz w:val="24"/>
          <w:szCs w:val="24"/>
          <w:lang w:val="en-SG"/>
        </w:rPr>
        <w:t>or mak</w:t>
      </w:r>
      <w:r w:rsidR="00921529">
        <w:rPr>
          <w:sz w:val="24"/>
          <w:szCs w:val="24"/>
          <w:lang w:val="en-SG"/>
        </w:rPr>
        <w:t>ing</w:t>
      </w:r>
      <w:r>
        <w:rPr>
          <w:sz w:val="24"/>
          <w:szCs w:val="24"/>
          <w:lang w:val="en-SG"/>
        </w:rPr>
        <w:t xml:space="preserve"> use of</w:t>
      </w:r>
      <w:r w:rsidRPr="001D0BE8">
        <w:rPr>
          <w:sz w:val="24"/>
          <w:szCs w:val="24"/>
          <w:lang w:val="en-SG"/>
        </w:rPr>
        <w:t xml:space="preserve"> card</w:t>
      </w:r>
      <w:r w:rsidR="00CC57F5">
        <w:rPr>
          <w:sz w:val="24"/>
          <w:szCs w:val="24"/>
          <w:lang w:val="en-SG"/>
        </w:rPr>
        <w:t>s</w:t>
      </w:r>
      <w:r w:rsidRPr="001D0BE8">
        <w:rPr>
          <w:sz w:val="24"/>
          <w:szCs w:val="24"/>
          <w:lang w:val="en-SG"/>
        </w:rPr>
        <w:t xml:space="preserve"> for online or phone payments</w:t>
      </w:r>
      <w:r w:rsidRPr="00A4398B">
        <w:rPr>
          <w:sz w:val="24"/>
          <w:szCs w:val="24"/>
          <w:lang w:val="en-SG"/>
        </w:rPr>
        <w:t>.</w:t>
      </w:r>
      <w:r>
        <w:rPr>
          <w:rStyle w:val="FootnoteReference"/>
          <w:sz w:val="24"/>
          <w:szCs w:val="24"/>
          <w:lang w:val="en-SG"/>
        </w:rPr>
        <w:footnoteReference w:id="17"/>
      </w:r>
      <w:r w:rsidRPr="00A4398B">
        <w:rPr>
          <w:sz w:val="24"/>
          <w:szCs w:val="24"/>
          <w:lang w:val="en-SG"/>
        </w:rPr>
        <w:t xml:space="preserve"> </w:t>
      </w:r>
      <w:r w:rsidR="00F353D2" w:rsidRPr="00C72689">
        <w:rPr>
          <w:sz w:val="24"/>
          <w:szCs w:val="24"/>
          <w:lang w:val="en-SG"/>
        </w:rPr>
        <w:t>UK Finance has observed a trend towards authorised payment scams as bank security systems are relatively more successful at detecting unauthorised payments</w:t>
      </w:r>
      <w:r w:rsidR="00F353D2">
        <w:rPr>
          <w:sz w:val="24"/>
          <w:szCs w:val="24"/>
          <w:lang w:val="en-SG"/>
        </w:rPr>
        <w:t>.</w:t>
      </w:r>
      <w:r w:rsidR="00F353D2" w:rsidRPr="00C72689">
        <w:rPr>
          <w:rStyle w:val="FootnoteReference"/>
          <w:sz w:val="24"/>
          <w:szCs w:val="24"/>
          <w:lang w:val="en-SG"/>
        </w:rPr>
        <w:footnoteReference w:id="18"/>
      </w:r>
      <w:r w:rsidR="00F353D2">
        <w:rPr>
          <w:sz w:val="24"/>
          <w:szCs w:val="24"/>
          <w:lang w:val="en-SG"/>
        </w:rPr>
        <w:t xml:space="preserve"> </w:t>
      </w:r>
      <w:r>
        <w:rPr>
          <w:sz w:val="24"/>
          <w:szCs w:val="24"/>
          <w:lang w:val="en-SG"/>
        </w:rPr>
        <w:t xml:space="preserve">One modus operandi is to trick customers into disclosing their account access data to the scammer who proceeds to transact with it. Unless the customer has been reckless, the common law would ordinarily regard such transactions as unauthorised. Today, however, contract terms </w:t>
      </w:r>
      <w:r w:rsidR="00F3784D">
        <w:rPr>
          <w:sz w:val="24"/>
          <w:szCs w:val="24"/>
          <w:lang w:val="en-SG"/>
        </w:rPr>
        <w:t>may</w:t>
      </w:r>
      <w:r w:rsidR="00AB61C2">
        <w:rPr>
          <w:sz w:val="24"/>
          <w:szCs w:val="24"/>
          <w:lang w:val="en-SG"/>
        </w:rPr>
        <w:t xml:space="preserve"> </w:t>
      </w:r>
      <w:r>
        <w:rPr>
          <w:sz w:val="24"/>
          <w:szCs w:val="24"/>
          <w:lang w:val="en-SG"/>
        </w:rPr>
        <w:t>place the risk on the customer.</w:t>
      </w:r>
      <w:r w:rsidR="00F3784D">
        <w:rPr>
          <w:rStyle w:val="FootnoteReference"/>
          <w:sz w:val="24"/>
          <w:szCs w:val="24"/>
          <w:lang w:val="en-SG"/>
        </w:rPr>
        <w:footnoteReference w:id="19"/>
      </w:r>
      <w:r w:rsidRPr="00EE0BE6">
        <w:rPr>
          <w:sz w:val="24"/>
          <w:szCs w:val="24"/>
          <w:lang w:val="en-SG"/>
        </w:rPr>
        <w:t xml:space="preserve"> </w:t>
      </w:r>
      <w:r w:rsidR="00921529">
        <w:rPr>
          <w:sz w:val="24"/>
          <w:szCs w:val="24"/>
          <w:lang w:val="en-SG"/>
        </w:rPr>
        <w:t xml:space="preserve"> </w:t>
      </w:r>
    </w:p>
    <w:p w14:paraId="2D34968C" w14:textId="1361DDD6" w:rsidR="00B0550F" w:rsidRPr="003D3EDF" w:rsidRDefault="00492CAA" w:rsidP="00C75FB6">
      <w:pPr>
        <w:rPr>
          <w:sz w:val="24"/>
          <w:szCs w:val="24"/>
        </w:rPr>
      </w:pPr>
      <w:r>
        <w:rPr>
          <w:sz w:val="24"/>
          <w:szCs w:val="24"/>
        </w:rPr>
        <w:lastRenderedPageBreak/>
        <w:t xml:space="preserve">The prevalence of authorised payment scams and the harm they cause to payment users </w:t>
      </w:r>
      <w:r w:rsidR="00D62C49">
        <w:rPr>
          <w:sz w:val="24"/>
          <w:szCs w:val="24"/>
        </w:rPr>
        <w:t>has prompted the intervention of</w:t>
      </w:r>
      <w:r>
        <w:rPr>
          <w:sz w:val="24"/>
          <w:szCs w:val="24"/>
        </w:rPr>
        <w:t xml:space="preserve"> governments and regulators.</w:t>
      </w:r>
      <w:r w:rsidR="003D3EDF">
        <w:rPr>
          <w:sz w:val="24"/>
          <w:szCs w:val="24"/>
        </w:rPr>
        <w:t xml:space="preserve"> For example, t</w:t>
      </w:r>
      <w:r w:rsidR="006D78B9">
        <w:rPr>
          <w:sz w:val="24"/>
          <w:szCs w:val="24"/>
          <w:lang w:val="en-SG"/>
        </w:rPr>
        <w:t xml:space="preserve">he UK, Australia and Singapore have all responded to the problem with </w:t>
      </w:r>
      <w:r w:rsidR="002D3AF6">
        <w:rPr>
          <w:sz w:val="24"/>
          <w:szCs w:val="24"/>
          <w:lang w:val="en-SG"/>
        </w:rPr>
        <w:t>codes of conduct for payment services providers</w:t>
      </w:r>
      <w:r w:rsidR="004558C8">
        <w:rPr>
          <w:sz w:val="24"/>
          <w:szCs w:val="24"/>
          <w:lang w:val="en-SG"/>
        </w:rPr>
        <w:t xml:space="preserve"> (the Codes)</w:t>
      </w:r>
      <w:r w:rsidR="006D78B9">
        <w:rPr>
          <w:sz w:val="24"/>
          <w:szCs w:val="24"/>
          <w:lang w:val="en-SG"/>
        </w:rPr>
        <w:t xml:space="preserve">. </w:t>
      </w:r>
      <w:r w:rsidR="003A7A78">
        <w:rPr>
          <w:sz w:val="24"/>
          <w:szCs w:val="24"/>
          <w:lang w:val="en-SG"/>
        </w:rPr>
        <w:t>The UK introduced its</w:t>
      </w:r>
      <w:r w:rsidR="003A7A78" w:rsidRPr="00BD3842">
        <w:rPr>
          <w:sz w:val="24"/>
          <w:szCs w:val="24"/>
          <w:lang w:val="en-SG"/>
        </w:rPr>
        <w:t xml:space="preserve"> Contingent Reimbursement Model Code for Authorised Push Payment Scams</w:t>
      </w:r>
      <w:r w:rsidR="003A7A78">
        <w:rPr>
          <w:sz w:val="24"/>
          <w:szCs w:val="24"/>
          <w:lang w:val="en-SG"/>
        </w:rPr>
        <w:t xml:space="preserve"> (CRM Code) in </w:t>
      </w:r>
      <w:r w:rsidR="003A7A78" w:rsidRPr="00BD3842">
        <w:rPr>
          <w:sz w:val="24"/>
          <w:szCs w:val="24"/>
          <w:lang w:val="en-SG"/>
        </w:rPr>
        <w:t>May 2019</w:t>
      </w:r>
      <w:r w:rsidR="003A7A78">
        <w:rPr>
          <w:sz w:val="24"/>
          <w:szCs w:val="24"/>
          <w:lang w:val="en-SG"/>
        </w:rPr>
        <w:t>,</w:t>
      </w:r>
      <w:r w:rsidR="003A7A78">
        <w:rPr>
          <w:rStyle w:val="FootnoteReference"/>
          <w:sz w:val="24"/>
          <w:szCs w:val="24"/>
          <w:lang w:val="en-SG"/>
        </w:rPr>
        <w:footnoteReference w:id="20"/>
      </w:r>
      <w:r w:rsidR="003A7A78">
        <w:rPr>
          <w:sz w:val="24"/>
          <w:szCs w:val="24"/>
          <w:lang w:val="en-SG"/>
        </w:rPr>
        <w:t xml:space="preserve"> Australia’s </w:t>
      </w:r>
      <w:r w:rsidR="003A7A78" w:rsidRPr="002D3AF6">
        <w:rPr>
          <w:sz w:val="24"/>
          <w:szCs w:val="24"/>
          <w:lang w:val="en-SG"/>
        </w:rPr>
        <w:t>ePayments Code</w:t>
      </w:r>
      <w:r w:rsidR="003A7A78">
        <w:rPr>
          <w:sz w:val="24"/>
          <w:szCs w:val="24"/>
          <w:lang w:val="en-SG"/>
        </w:rPr>
        <w:t xml:space="preserve"> was fully operational by March 2013,</w:t>
      </w:r>
      <w:r w:rsidR="003A7A78" w:rsidRPr="002D3AF6">
        <w:rPr>
          <w:sz w:val="24"/>
          <w:szCs w:val="24"/>
          <w:vertAlign w:val="superscript"/>
          <w:lang w:val="en-SG"/>
        </w:rPr>
        <w:footnoteReference w:id="21"/>
      </w:r>
      <w:r w:rsidR="003A7A78" w:rsidRPr="002D3AF6">
        <w:rPr>
          <w:sz w:val="24"/>
          <w:szCs w:val="24"/>
          <w:lang w:val="en-SG"/>
        </w:rPr>
        <w:t xml:space="preserve"> </w:t>
      </w:r>
      <w:r w:rsidR="003A7A78">
        <w:rPr>
          <w:sz w:val="24"/>
          <w:szCs w:val="24"/>
          <w:lang w:val="en-SG"/>
        </w:rPr>
        <w:t xml:space="preserve">and Singapore launched </w:t>
      </w:r>
      <w:r w:rsidR="00732CB8">
        <w:rPr>
          <w:sz w:val="24"/>
          <w:szCs w:val="24"/>
          <w:lang w:val="en-SG"/>
        </w:rPr>
        <w:t xml:space="preserve">its </w:t>
      </w:r>
      <w:r w:rsidR="003A7A78" w:rsidRPr="002D3AF6">
        <w:rPr>
          <w:sz w:val="24"/>
          <w:szCs w:val="24"/>
          <w:lang w:val="en-SG"/>
        </w:rPr>
        <w:t>E-Payments User Protection Guidelines</w:t>
      </w:r>
      <w:r w:rsidR="003A7A78">
        <w:rPr>
          <w:sz w:val="24"/>
          <w:szCs w:val="24"/>
          <w:lang w:val="en-SG"/>
        </w:rPr>
        <w:t xml:space="preserve"> </w:t>
      </w:r>
      <w:r w:rsidR="00732CB8">
        <w:rPr>
          <w:sz w:val="24"/>
          <w:szCs w:val="24"/>
          <w:lang w:val="en-SG"/>
        </w:rPr>
        <w:t xml:space="preserve">which took effect </w:t>
      </w:r>
      <w:r w:rsidR="003A7A78">
        <w:rPr>
          <w:sz w:val="24"/>
          <w:szCs w:val="24"/>
          <w:lang w:val="en-SG"/>
        </w:rPr>
        <w:t>in 201</w:t>
      </w:r>
      <w:r w:rsidR="00732CB8">
        <w:rPr>
          <w:sz w:val="24"/>
          <w:szCs w:val="24"/>
          <w:lang w:val="en-SG"/>
        </w:rPr>
        <w:t>9</w:t>
      </w:r>
      <w:r w:rsidR="003A7A78">
        <w:rPr>
          <w:sz w:val="24"/>
          <w:szCs w:val="24"/>
          <w:lang w:val="en-SG"/>
        </w:rPr>
        <w:t>.</w:t>
      </w:r>
      <w:r w:rsidR="003A7A78" w:rsidRPr="002D3AF6">
        <w:rPr>
          <w:sz w:val="24"/>
          <w:szCs w:val="24"/>
          <w:vertAlign w:val="superscript"/>
          <w:lang w:val="en-SG"/>
        </w:rPr>
        <w:footnoteReference w:id="22"/>
      </w:r>
      <w:r w:rsidR="009531E4">
        <w:rPr>
          <w:sz w:val="24"/>
          <w:szCs w:val="24"/>
          <w:lang w:val="en-SG"/>
        </w:rPr>
        <w:t xml:space="preserve"> </w:t>
      </w:r>
      <w:r w:rsidR="006D78B9">
        <w:rPr>
          <w:sz w:val="24"/>
          <w:szCs w:val="24"/>
          <w:lang w:val="en-SG"/>
        </w:rPr>
        <w:t xml:space="preserve">The measures are </w:t>
      </w:r>
      <w:r w:rsidR="003D3EDF">
        <w:rPr>
          <w:sz w:val="24"/>
          <w:szCs w:val="24"/>
          <w:lang w:val="en-SG"/>
        </w:rPr>
        <w:t>primarily</w:t>
      </w:r>
      <w:r w:rsidR="00F51830">
        <w:rPr>
          <w:sz w:val="24"/>
          <w:szCs w:val="24"/>
          <w:lang w:val="en-SG"/>
        </w:rPr>
        <w:t xml:space="preserve"> </w:t>
      </w:r>
      <w:r w:rsidR="0081589D">
        <w:rPr>
          <w:sz w:val="24"/>
          <w:szCs w:val="24"/>
          <w:lang w:val="en-SG"/>
        </w:rPr>
        <w:t xml:space="preserve">directed at digital </w:t>
      </w:r>
      <w:r w:rsidR="0067771A">
        <w:rPr>
          <w:sz w:val="24"/>
          <w:szCs w:val="24"/>
          <w:lang w:val="en-SG"/>
        </w:rPr>
        <w:t xml:space="preserve">push </w:t>
      </w:r>
      <w:r w:rsidR="0081589D">
        <w:rPr>
          <w:sz w:val="24"/>
          <w:szCs w:val="24"/>
          <w:lang w:val="en-SG"/>
        </w:rPr>
        <w:t>payment</w:t>
      </w:r>
      <w:r w:rsidR="00CB49C5">
        <w:rPr>
          <w:sz w:val="24"/>
          <w:szCs w:val="24"/>
          <w:lang w:val="en-SG"/>
        </w:rPr>
        <w:t>s</w:t>
      </w:r>
      <w:r w:rsidR="00F51830">
        <w:rPr>
          <w:sz w:val="24"/>
          <w:szCs w:val="24"/>
          <w:lang w:val="en-SG"/>
        </w:rPr>
        <w:t>.</w:t>
      </w:r>
      <w:r w:rsidR="002D3AF6">
        <w:rPr>
          <w:sz w:val="24"/>
          <w:szCs w:val="24"/>
          <w:lang w:val="en-SG"/>
        </w:rPr>
        <w:t xml:space="preserve"> </w:t>
      </w:r>
      <w:r w:rsidR="00957CCC">
        <w:rPr>
          <w:sz w:val="24"/>
          <w:szCs w:val="24"/>
          <w:lang w:val="en-SG"/>
        </w:rPr>
        <w:t xml:space="preserve">Common responses to the problem </w:t>
      </w:r>
      <w:r w:rsidR="00F51830">
        <w:rPr>
          <w:sz w:val="24"/>
          <w:szCs w:val="24"/>
          <w:lang w:val="en-SG"/>
        </w:rPr>
        <w:t xml:space="preserve">of </w:t>
      </w:r>
      <w:r w:rsidR="00F51830" w:rsidRPr="00F51830">
        <w:rPr>
          <w:sz w:val="24"/>
          <w:szCs w:val="24"/>
          <w:lang w:val="en-SG"/>
        </w:rPr>
        <w:t xml:space="preserve">authorised payment scams </w:t>
      </w:r>
      <w:r w:rsidR="00F51830">
        <w:rPr>
          <w:sz w:val="24"/>
          <w:szCs w:val="24"/>
          <w:lang w:val="en-SG"/>
        </w:rPr>
        <w:t xml:space="preserve">in the </w:t>
      </w:r>
      <w:r w:rsidR="004558C8">
        <w:rPr>
          <w:sz w:val="24"/>
          <w:szCs w:val="24"/>
          <w:lang w:val="en-SG"/>
        </w:rPr>
        <w:t>C</w:t>
      </w:r>
      <w:r w:rsidR="00F51830">
        <w:rPr>
          <w:sz w:val="24"/>
          <w:szCs w:val="24"/>
          <w:lang w:val="en-SG"/>
        </w:rPr>
        <w:t xml:space="preserve">odes </w:t>
      </w:r>
      <w:r w:rsidR="00957CCC">
        <w:rPr>
          <w:sz w:val="24"/>
          <w:szCs w:val="24"/>
          <w:lang w:val="en-SG"/>
        </w:rPr>
        <w:t>are</w:t>
      </w:r>
      <w:r w:rsidR="00B0550F">
        <w:rPr>
          <w:sz w:val="24"/>
          <w:szCs w:val="24"/>
          <w:lang w:val="en-SG"/>
        </w:rPr>
        <w:t>:</w:t>
      </w:r>
      <w:r w:rsidR="00C03C47">
        <w:rPr>
          <w:rStyle w:val="FootnoteReference"/>
          <w:sz w:val="24"/>
          <w:szCs w:val="24"/>
          <w:lang w:val="en-SG"/>
        </w:rPr>
        <w:footnoteReference w:id="23"/>
      </w:r>
    </w:p>
    <w:p w14:paraId="675A5688" w14:textId="1DE00145" w:rsidR="00B0550F" w:rsidRDefault="00B0550F" w:rsidP="00B0550F">
      <w:pPr>
        <w:pStyle w:val="ListParagraph"/>
        <w:numPr>
          <w:ilvl w:val="0"/>
          <w:numId w:val="4"/>
        </w:numPr>
        <w:rPr>
          <w:sz w:val="24"/>
          <w:szCs w:val="24"/>
          <w:lang w:val="en-SG"/>
        </w:rPr>
      </w:pPr>
      <w:r>
        <w:rPr>
          <w:sz w:val="24"/>
          <w:szCs w:val="24"/>
          <w:lang w:val="en-SG"/>
        </w:rPr>
        <w:t>I</w:t>
      </w:r>
      <w:r w:rsidR="00957CCC" w:rsidRPr="00B0550F">
        <w:rPr>
          <w:sz w:val="24"/>
          <w:szCs w:val="24"/>
          <w:lang w:val="en-SG"/>
        </w:rPr>
        <w:t>mproved consumer education to facilitate better detection and avoidance of payment scams</w:t>
      </w:r>
      <w:r w:rsidR="00DD65D1">
        <w:rPr>
          <w:sz w:val="24"/>
          <w:szCs w:val="24"/>
          <w:lang w:val="en-SG"/>
        </w:rPr>
        <w:t>.</w:t>
      </w:r>
    </w:p>
    <w:p w14:paraId="433E8DC2" w14:textId="777198B9" w:rsidR="00B0550F" w:rsidRDefault="009531E4" w:rsidP="00B0550F">
      <w:pPr>
        <w:pStyle w:val="ListParagraph"/>
        <w:numPr>
          <w:ilvl w:val="0"/>
          <w:numId w:val="4"/>
        </w:numPr>
        <w:rPr>
          <w:sz w:val="24"/>
          <w:szCs w:val="24"/>
          <w:lang w:val="en-SG"/>
        </w:rPr>
      </w:pPr>
      <w:r>
        <w:rPr>
          <w:sz w:val="24"/>
          <w:szCs w:val="24"/>
          <w:lang w:val="en-SG"/>
        </w:rPr>
        <w:t>D</w:t>
      </w:r>
      <w:r w:rsidR="00957CCC" w:rsidRPr="00B0550F">
        <w:rPr>
          <w:sz w:val="24"/>
          <w:szCs w:val="24"/>
          <w:lang w:val="en-SG"/>
        </w:rPr>
        <w:t xml:space="preserve">ata collection and sharing to </w:t>
      </w:r>
      <w:r w:rsidR="00C75FB6" w:rsidRPr="00B0550F">
        <w:rPr>
          <w:sz w:val="24"/>
          <w:szCs w:val="24"/>
          <w:lang w:val="en-SG"/>
        </w:rPr>
        <w:t xml:space="preserve">facilitate </w:t>
      </w:r>
      <w:r w:rsidR="002805C1">
        <w:rPr>
          <w:sz w:val="24"/>
          <w:szCs w:val="24"/>
          <w:lang w:val="en-SG"/>
        </w:rPr>
        <w:t xml:space="preserve">more co-ordinated and informed </w:t>
      </w:r>
      <w:r w:rsidR="00C75FB6" w:rsidRPr="00B0550F">
        <w:rPr>
          <w:sz w:val="24"/>
          <w:szCs w:val="24"/>
          <w:lang w:val="en-SG"/>
        </w:rPr>
        <w:t>industry level response</w:t>
      </w:r>
      <w:r w:rsidR="00B0550F">
        <w:rPr>
          <w:sz w:val="24"/>
          <w:szCs w:val="24"/>
          <w:lang w:val="en-SG"/>
        </w:rPr>
        <w:t>s</w:t>
      </w:r>
      <w:r w:rsidR="00DD65D1">
        <w:rPr>
          <w:sz w:val="24"/>
          <w:szCs w:val="24"/>
          <w:lang w:val="en-SG"/>
        </w:rPr>
        <w:t xml:space="preserve">. </w:t>
      </w:r>
    </w:p>
    <w:p w14:paraId="6EA0CA7E" w14:textId="1776B7B7" w:rsidR="00E8569C" w:rsidRPr="002805C1" w:rsidRDefault="002805C1" w:rsidP="00B0550F">
      <w:pPr>
        <w:pStyle w:val="ListParagraph"/>
        <w:numPr>
          <w:ilvl w:val="0"/>
          <w:numId w:val="4"/>
        </w:numPr>
        <w:rPr>
          <w:sz w:val="24"/>
          <w:szCs w:val="24"/>
          <w:lang w:val="en-SG"/>
        </w:rPr>
      </w:pPr>
      <w:bookmarkStart w:id="10" w:name="_Hlk74058161"/>
      <w:r>
        <w:rPr>
          <w:sz w:val="24"/>
          <w:szCs w:val="24"/>
          <w:lang w:val="en-SG"/>
        </w:rPr>
        <w:t>C</w:t>
      </w:r>
      <w:r w:rsidR="00C75FB6" w:rsidRPr="00B0550F">
        <w:rPr>
          <w:sz w:val="24"/>
          <w:szCs w:val="24"/>
          <w:lang w:val="en-SG"/>
        </w:rPr>
        <w:t xml:space="preserve">onfirmation of payee </w:t>
      </w:r>
      <w:bookmarkEnd w:id="10"/>
      <w:r w:rsidR="00C75FB6" w:rsidRPr="00B0550F">
        <w:rPr>
          <w:sz w:val="24"/>
          <w:szCs w:val="24"/>
          <w:lang w:val="en-SG"/>
        </w:rPr>
        <w:t xml:space="preserve">(CoP) </w:t>
      </w:r>
      <w:r>
        <w:rPr>
          <w:sz w:val="24"/>
          <w:szCs w:val="24"/>
          <w:lang w:val="en-SG"/>
        </w:rPr>
        <w:t xml:space="preserve">facilities </w:t>
      </w:r>
      <w:r w:rsidR="000129E4">
        <w:rPr>
          <w:sz w:val="24"/>
          <w:szCs w:val="24"/>
          <w:lang w:val="en-SG"/>
        </w:rPr>
        <w:t xml:space="preserve">which </w:t>
      </w:r>
      <w:r>
        <w:rPr>
          <w:sz w:val="24"/>
          <w:szCs w:val="24"/>
          <w:lang w:val="en-SG"/>
        </w:rPr>
        <w:t xml:space="preserve">performs or </w:t>
      </w:r>
      <w:r w:rsidR="009531E4">
        <w:rPr>
          <w:sz w:val="24"/>
          <w:szCs w:val="24"/>
          <w:lang w:val="en-SG"/>
        </w:rPr>
        <w:t>facilitates</w:t>
      </w:r>
      <w:r w:rsidR="000129E4">
        <w:rPr>
          <w:sz w:val="24"/>
          <w:szCs w:val="24"/>
          <w:lang w:val="en-SG"/>
        </w:rPr>
        <w:t xml:space="preserve"> </w:t>
      </w:r>
      <w:r w:rsidR="00B0550F">
        <w:rPr>
          <w:sz w:val="24"/>
          <w:szCs w:val="24"/>
          <w:lang w:val="en-SG"/>
        </w:rPr>
        <w:t xml:space="preserve">a </w:t>
      </w:r>
      <w:r w:rsidR="00C75FB6" w:rsidRPr="00B0550F">
        <w:rPr>
          <w:sz w:val="24"/>
          <w:szCs w:val="24"/>
          <w:lang w:val="en-SG"/>
        </w:rPr>
        <w:t xml:space="preserve">check that the </w:t>
      </w:r>
      <w:r>
        <w:rPr>
          <w:sz w:val="24"/>
          <w:szCs w:val="24"/>
          <w:lang w:val="en-SG"/>
        </w:rPr>
        <w:t xml:space="preserve">receiving </w:t>
      </w:r>
      <w:r w:rsidR="00C75FB6" w:rsidRPr="00B0550F">
        <w:rPr>
          <w:sz w:val="24"/>
          <w:szCs w:val="24"/>
          <w:lang w:val="en-SG"/>
        </w:rPr>
        <w:t xml:space="preserve">account </w:t>
      </w:r>
      <w:r>
        <w:rPr>
          <w:sz w:val="24"/>
          <w:szCs w:val="24"/>
          <w:lang w:val="en-SG"/>
        </w:rPr>
        <w:t xml:space="preserve">as designated by its </w:t>
      </w:r>
      <w:r w:rsidR="00C75FB6" w:rsidRPr="00B0550F">
        <w:rPr>
          <w:sz w:val="24"/>
          <w:szCs w:val="24"/>
          <w:lang w:val="en-SG"/>
        </w:rPr>
        <w:t>number</w:t>
      </w:r>
      <w:r w:rsidR="009531E4">
        <w:rPr>
          <w:sz w:val="24"/>
          <w:szCs w:val="24"/>
          <w:lang w:val="en-SG"/>
        </w:rPr>
        <w:t>,</w:t>
      </w:r>
      <w:r w:rsidR="00C75FB6" w:rsidRPr="00B0550F">
        <w:rPr>
          <w:sz w:val="24"/>
          <w:szCs w:val="24"/>
          <w:lang w:val="en-SG"/>
        </w:rPr>
        <w:t xml:space="preserve"> corresponds with the designated payee in the customer’s instruction</w:t>
      </w:r>
      <w:r w:rsidR="00DD65D1">
        <w:rPr>
          <w:sz w:val="24"/>
          <w:szCs w:val="24"/>
          <w:lang w:val="en-SG"/>
        </w:rPr>
        <w:t>.</w:t>
      </w:r>
      <w:r w:rsidR="00A26D89">
        <w:rPr>
          <w:rStyle w:val="FootnoteReference"/>
          <w:sz w:val="24"/>
          <w:szCs w:val="24"/>
          <w:lang w:val="en-SG"/>
        </w:rPr>
        <w:footnoteReference w:id="24"/>
      </w:r>
      <w:r w:rsidR="00B0550F" w:rsidRPr="00B0550F">
        <w:rPr>
          <w:sz w:val="24"/>
          <w:szCs w:val="24"/>
          <w:lang w:val="en-SG"/>
        </w:rPr>
        <w:t xml:space="preserve"> </w:t>
      </w:r>
      <w:r w:rsidR="00DD65D1" w:rsidRPr="002805C1">
        <w:rPr>
          <w:sz w:val="24"/>
          <w:szCs w:val="24"/>
        </w:rPr>
        <w:t xml:space="preserve">CoP is highly effective at reducing </w:t>
      </w:r>
      <w:r w:rsidR="00732CB8">
        <w:rPr>
          <w:sz w:val="24"/>
          <w:szCs w:val="24"/>
        </w:rPr>
        <w:t xml:space="preserve">redirection </w:t>
      </w:r>
      <w:r w:rsidR="00DD65D1" w:rsidRPr="002805C1">
        <w:rPr>
          <w:sz w:val="24"/>
          <w:szCs w:val="24"/>
        </w:rPr>
        <w:t xml:space="preserve">scams in which </w:t>
      </w:r>
      <w:r w:rsidR="002943B0">
        <w:rPr>
          <w:sz w:val="24"/>
          <w:szCs w:val="24"/>
        </w:rPr>
        <w:t xml:space="preserve">the payer has been tricked into using the account details of a scammer to pay </w:t>
      </w:r>
      <w:r w:rsidR="00DD65D1" w:rsidRPr="002805C1">
        <w:rPr>
          <w:sz w:val="24"/>
          <w:szCs w:val="24"/>
        </w:rPr>
        <w:t xml:space="preserve">an intended payee.  </w:t>
      </w:r>
      <w:r w:rsidR="00DD65D1" w:rsidRPr="002805C1">
        <w:rPr>
          <w:sz w:val="24"/>
          <w:szCs w:val="24"/>
          <w:lang w:val="en-SG"/>
        </w:rPr>
        <w:t xml:space="preserve"> </w:t>
      </w:r>
      <w:r w:rsidR="00B0550F" w:rsidRPr="002805C1">
        <w:rPr>
          <w:sz w:val="24"/>
          <w:szCs w:val="24"/>
          <w:lang w:val="en-SG"/>
        </w:rPr>
        <w:t xml:space="preserve"> </w:t>
      </w:r>
    </w:p>
    <w:p w14:paraId="57FF36AD" w14:textId="1E24FFB9" w:rsidR="00EB2ED0" w:rsidRPr="00EB2ED0" w:rsidRDefault="00B0550F" w:rsidP="00EB2ED0">
      <w:pPr>
        <w:pStyle w:val="ListParagraph"/>
        <w:numPr>
          <w:ilvl w:val="0"/>
          <w:numId w:val="4"/>
        </w:numPr>
        <w:rPr>
          <w:sz w:val="24"/>
          <w:szCs w:val="24"/>
          <w:lang w:val="en-SG"/>
        </w:rPr>
      </w:pPr>
      <w:r>
        <w:rPr>
          <w:sz w:val="24"/>
          <w:szCs w:val="24"/>
          <w:lang w:val="en-SG"/>
        </w:rPr>
        <w:t xml:space="preserve">Improved assistance from the </w:t>
      </w:r>
      <w:r w:rsidR="0064187A">
        <w:rPr>
          <w:sz w:val="24"/>
          <w:szCs w:val="24"/>
          <w:lang w:val="en-SG"/>
        </w:rPr>
        <w:t>pay</w:t>
      </w:r>
      <w:r w:rsidR="000129E4">
        <w:rPr>
          <w:sz w:val="24"/>
          <w:szCs w:val="24"/>
          <w:lang w:val="en-SG"/>
        </w:rPr>
        <w:t xml:space="preserve">ing and receiving </w:t>
      </w:r>
      <w:r>
        <w:rPr>
          <w:sz w:val="24"/>
          <w:szCs w:val="24"/>
          <w:lang w:val="en-SG"/>
        </w:rPr>
        <w:t>banks with a view to recovering the payment(s).</w:t>
      </w:r>
      <w:r>
        <w:rPr>
          <w:rStyle w:val="FootnoteReference"/>
          <w:sz w:val="24"/>
          <w:szCs w:val="24"/>
          <w:lang w:val="en-SG"/>
        </w:rPr>
        <w:footnoteReference w:id="25"/>
      </w:r>
      <w:r>
        <w:rPr>
          <w:sz w:val="24"/>
          <w:szCs w:val="24"/>
          <w:lang w:val="en-SG"/>
        </w:rPr>
        <w:t xml:space="preserve"> </w:t>
      </w:r>
      <w:r w:rsidR="000129E4">
        <w:rPr>
          <w:sz w:val="24"/>
          <w:szCs w:val="24"/>
          <w:lang w:val="en-SG"/>
        </w:rPr>
        <w:t>P</w:t>
      </w:r>
      <w:r w:rsidR="0079372B">
        <w:rPr>
          <w:sz w:val="24"/>
          <w:szCs w:val="24"/>
          <w:lang w:val="en-SG"/>
        </w:rPr>
        <w:t>ractically,</w:t>
      </w:r>
      <w:r w:rsidR="002943B0">
        <w:rPr>
          <w:sz w:val="24"/>
          <w:szCs w:val="24"/>
          <w:lang w:val="en-SG"/>
        </w:rPr>
        <w:t xml:space="preserve"> </w:t>
      </w:r>
      <w:r w:rsidR="00A26D89">
        <w:rPr>
          <w:sz w:val="24"/>
          <w:szCs w:val="24"/>
          <w:lang w:val="en-SG"/>
        </w:rPr>
        <w:t>scammers are like</w:t>
      </w:r>
      <w:r w:rsidR="0079372B">
        <w:rPr>
          <w:sz w:val="24"/>
          <w:szCs w:val="24"/>
          <w:lang w:val="en-SG"/>
        </w:rPr>
        <w:t>ly</w:t>
      </w:r>
      <w:r w:rsidR="00A26D89">
        <w:rPr>
          <w:sz w:val="24"/>
          <w:szCs w:val="24"/>
          <w:lang w:val="en-SG"/>
        </w:rPr>
        <w:t xml:space="preserve"> to evade </w:t>
      </w:r>
      <w:r w:rsidR="0079372B">
        <w:rPr>
          <w:sz w:val="24"/>
          <w:szCs w:val="24"/>
          <w:lang w:val="en-SG"/>
        </w:rPr>
        <w:t>recovery attempts</w:t>
      </w:r>
      <w:r w:rsidR="002943B0">
        <w:rPr>
          <w:sz w:val="24"/>
          <w:szCs w:val="24"/>
          <w:lang w:val="en-SG"/>
        </w:rPr>
        <w:t xml:space="preserve"> but if the scam is detected before the monies are withdrawn, there is some prospect of recovery</w:t>
      </w:r>
      <w:r w:rsidR="0079372B">
        <w:rPr>
          <w:sz w:val="24"/>
          <w:szCs w:val="24"/>
          <w:lang w:val="en-SG"/>
        </w:rPr>
        <w:t>.</w:t>
      </w:r>
      <w:r w:rsidRPr="00B0550F">
        <w:rPr>
          <w:sz w:val="24"/>
          <w:szCs w:val="24"/>
          <w:vertAlign w:val="superscript"/>
          <w:lang w:val="en-US"/>
        </w:rPr>
        <w:footnoteReference w:id="26"/>
      </w:r>
      <w:r w:rsidRPr="00B0550F">
        <w:rPr>
          <w:sz w:val="24"/>
          <w:szCs w:val="24"/>
          <w:lang w:val="en-US"/>
        </w:rPr>
        <w:t xml:space="preserve"> </w:t>
      </w:r>
    </w:p>
    <w:p w14:paraId="77469BAB" w14:textId="7C6EF8F6" w:rsidR="00A26D89" w:rsidRPr="000129E4" w:rsidRDefault="00A26D89" w:rsidP="00EB2ED0">
      <w:pPr>
        <w:pStyle w:val="ListParagraph"/>
        <w:numPr>
          <w:ilvl w:val="0"/>
          <w:numId w:val="4"/>
        </w:numPr>
        <w:rPr>
          <w:sz w:val="24"/>
          <w:szCs w:val="24"/>
          <w:lang w:val="en-SG"/>
        </w:rPr>
      </w:pPr>
      <w:r w:rsidRPr="000129E4">
        <w:rPr>
          <w:sz w:val="24"/>
          <w:szCs w:val="24"/>
          <w:lang w:val="en-SG"/>
        </w:rPr>
        <w:lastRenderedPageBreak/>
        <w:t xml:space="preserve">The UK’s CRM </w:t>
      </w:r>
      <w:r w:rsidR="000129E4">
        <w:rPr>
          <w:sz w:val="24"/>
          <w:szCs w:val="24"/>
          <w:lang w:val="en-SG"/>
        </w:rPr>
        <w:t>C</w:t>
      </w:r>
      <w:r w:rsidRPr="000129E4">
        <w:rPr>
          <w:sz w:val="24"/>
          <w:szCs w:val="24"/>
          <w:lang w:val="en-SG"/>
        </w:rPr>
        <w:t>ode</w:t>
      </w:r>
      <w:r w:rsidR="00DD65D1" w:rsidRPr="000129E4">
        <w:rPr>
          <w:sz w:val="24"/>
          <w:szCs w:val="24"/>
          <w:lang w:val="en-SG"/>
        </w:rPr>
        <w:t xml:space="preserve"> </w:t>
      </w:r>
      <w:r w:rsidRPr="000129E4">
        <w:rPr>
          <w:sz w:val="24"/>
          <w:szCs w:val="24"/>
          <w:lang w:val="en-SG"/>
        </w:rPr>
        <w:t xml:space="preserve">has the significant feature of providing </w:t>
      </w:r>
      <w:r w:rsidRPr="000129E4">
        <w:rPr>
          <w:rFonts w:ascii="Calibri" w:eastAsia="Calibri" w:hAnsi="Calibri" w:cs="Times New Roman"/>
          <w:color w:val="000000"/>
          <w:sz w:val="24"/>
          <w:szCs w:val="24"/>
          <w:lang w:val="en-SG"/>
        </w:rPr>
        <w:t>in some circumstances</w:t>
      </w:r>
      <w:r w:rsidRPr="000129E4">
        <w:rPr>
          <w:sz w:val="24"/>
          <w:szCs w:val="24"/>
          <w:lang w:val="en-SG"/>
        </w:rPr>
        <w:t xml:space="preserve"> for </w:t>
      </w:r>
      <w:r w:rsidRPr="000129E4">
        <w:rPr>
          <w:rFonts w:ascii="Calibri" w:eastAsia="Calibri" w:hAnsi="Calibri" w:cs="Times New Roman"/>
          <w:color w:val="000000"/>
          <w:sz w:val="24"/>
          <w:szCs w:val="24"/>
          <w:lang w:val="en-SG"/>
        </w:rPr>
        <w:t xml:space="preserve">reimbursement of </w:t>
      </w:r>
      <w:r w:rsidR="000129E4">
        <w:rPr>
          <w:rFonts w:ascii="Calibri" w:eastAsia="Calibri" w:hAnsi="Calibri" w:cs="Times New Roman"/>
          <w:color w:val="000000"/>
          <w:sz w:val="24"/>
          <w:szCs w:val="24"/>
          <w:lang w:val="en-SG"/>
        </w:rPr>
        <w:t>consumer</w:t>
      </w:r>
      <w:r w:rsidRPr="000129E4">
        <w:rPr>
          <w:rFonts w:ascii="Calibri" w:eastAsia="Calibri" w:hAnsi="Calibri" w:cs="Times New Roman"/>
          <w:color w:val="000000"/>
          <w:sz w:val="24"/>
          <w:szCs w:val="24"/>
          <w:lang w:val="en-SG"/>
        </w:rPr>
        <w:t xml:space="preserve"> scam victim</w:t>
      </w:r>
      <w:r w:rsidR="000129E4">
        <w:rPr>
          <w:rFonts w:ascii="Calibri" w:eastAsia="Calibri" w:hAnsi="Calibri" w:cs="Times New Roman"/>
          <w:color w:val="000000"/>
          <w:sz w:val="24"/>
          <w:szCs w:val="24"/>
          <w:lang w:val="en-SG"/>
        </w:rPr>
        <w:t>s</w:t>
      </w:r>
      <w:r w:rsidRPr="000129E4">
        <w:rPr>
          <w:rFonts w:ascii="Calibri" w:eastAsia="Calibri" w:hAnsi="Calibri" w:cs="Times New Roman"/>
          <w:color w:val="000000"/>
          <w:sz w:val="24"/>
          <w:szCs w:val="24"/>
          <w:lang w:val="en-SG"/>
        </w:rPr>
        <w:t xml:space="preserve"> by the </w:t>
      </w:r>
      <w:r w:rsidR="000129E4">
        <w:rPr>
          <w:rFonts w:ascii="Calibri" w:eastAsia="Calibri" w:hAnsi="Calibri" w:cs="Times New Roman"/>
          <w:color w:val="000000"/>
          <w:sz w:val="24"/>
          <w:szCs w:val="24"/>
          <w:lang w:val="en-SG"/>
        </w:rPr>
        <w:t>payment services providers</w:t>
      </w:r>
      <w:r w:rsidRPr="000129E4">
        <w:rPr>
          <w:rFonts w:ascii="Calibri" w:eastAsia="Calibri" w:hAnsi="Calibri" w:cs="Times New Roman"/>
          <w:color w:val="000000"/>
          <w:sz w:val="24"/>
          <w:szCs w:val="24"/>
          <w:lang w:val="en-SG"/>
        </w:rPr>
        <w:t xml:space="preserve"> involved.</w:t>
      </w:r>
      <w:r w:rsidRPr="000129E4">
        <w:rPr>
          <w:rStyle w:val="FootnoteReference"/>
          <w:rFonts w:ascii="Calibri" w:eastAsia="Calibri" w:hAnsi="Calibri" w:cs="Times New Roman"/>
          <w:color w:val="000000"/>
          <w:sz w:val="24"/>
          <w:szCs w:val="24"/>
          <w:lang w:val="en-SG"/>
        </w:rPr>
        <w:footnoteReference w:id="27"/>
      </w:r>
    </w:p>
    <w:p w14:paraId="1F97A46D" w14:textId="7EE24BE3" w:rsidR="00C03C47" w:rsidRPr="00A26D89" w:rsidRDefault="00C03C47" w:rsidP="00A47CBC">
      <w:pPr>
        <w:rPr>
          <w:sz w:val="24"/>
          <w:szCs w:val="24"/>
          <w:lang w:val="en-SG"/>
        </w:rPr>
      </w:pPr>
      <w:r>
        <w:rPr>
          <w:sz w:val="24"/>
          <w:szCs w:val="24"/>
          <w:lang w:val="en-SG"/>
        </w:rPr>
        <w:t xml:space="preserve">Measures such as these are specifically targeted at the </w:t>
      </w:r>
      <w:r w:rsidR="00CB49C5">
        <w:rPr>
          <w:sz w:val="24"/>
          <w:szCs w:val="24"/>
          <w:lang w:val="en-SG"/>
        </w:rPr>
        <w:t xml:space="preserve">authorised </w:t>
      </w:r>
      <w:r w:rsidR="00F51830">
        <w:rPr>
          <w:sz w:val="24"/>
          <w:szCs w:val="24"/>
          <w:lang w:val="en-SG"/>
        </w:rPr>
        <w:t xml:space="preserve">payment scam </w:t>
      </w:r>
      <w:r>
        <w:rPr>
          <w:sz w:val="24"/>
          <w:szCs w:val="24"/>
          <w:lang w:val="en-SG"/>
        </w:rPr>
        <w:t>problem, and are</w:t>
      </w:r>
      <w:r w:rsidR="00CB49C5">
        <w:rPr>
          <w:sz w:val="24"/>
          <w:szCs w:val="24"/>
          <w:lang w:val="en-SG"/>
        </w:rPr>
        <w:t xml:space="preserve"> no doubt</w:t>
      </w:r>
      <w:r>
        <w:rPr>
          <w:sz w:val="24"/>
          <w:szCs w:val="24"/>
          <w:lang w:val="en-SG"/>
        </w:rPr>
        <w:t xml:space="preserve"> making a </w:t>
      </w:r>
      <w:r w:rsidR="00CB49C5">
        <w:rPr>
          <w:sz w:val="24"/>
          <w:szCs w:val="24"/>
          <w:lang w:val="en-SG"/>
        </w:rPr>
        <w:t xml:space="preserve">meaningful </w:t>
      </w:r>
      <w:r>
        <w:rPr>
          <w:sz w:val="24"/>
          <w:szCs w:val="24"/>
          <w:lang w:val="en-SG"/>
        </w:rPr>
        <w:t xml:space="preserve">difference. In this paper I </w:t>
      </w:r>
      <w:r w:rsidR="002805C1">
        <w:rPr>
          <w:sz w:val="24"/>
          <w:szCs w:val="24"/>
          <w:lang w:val="en-SG"/>
        </w:rPr>
        <w:t>focus elsewhere,</w:t>
      </w:r>
      <w:r w:rsidR="00EB2ED0">
        <w:rPr>
          <w:sz w:val="24"/>
          <w:szCs w:val="24"/>
          <w:lang w:val="en-SG"/>
        </w:rPr>
        <w:t xml:space="preserve"> </w:t>
      </w:r>
      <w:r>
        <w:rPr>
          <w:sz w:val="24"/>
          <w:szCs w:val="24"/>
          <w:lang w:val="en-SG"/>
        </w:rPr>
        <w:t xml:space="preserve">on </w:t>
      </w:r>
      <w:r w:rsidR="00F51830">
        <w:rPr>
          <w:sz w:val="24"/>
          <w:szCs w:val="24"/>
          <w:lang w:val="en-SG"/>
        </w:rPr>
        <w:t xml:space="preserve">the role of </w:t>
      </w:r>
      <w:r>
        <w:rPr>
          <w:sz w:val="24"/>
          <w:szCs w:val="24"/>
          <w:lang w:val="en-SG"/>
        </w:rPr>
        <w:t>the bank’s duty of care</w:t>
      </w:r>
      <w:r w:rsidR="00EB2ED0">
        <w:rPr>
          <w:sz w:val="24"/>
          <w:szCs w:val="24"/>
          <w:lang w:val="en-SG"/>
        </w:rPr>
        <w:t xml:space="preserve">, and its capacity to </w:t>
      </w:r>
      <w:r w:rsidR="00ED5A25">
        <w:rPr>
          <w:sz w:val="24"/>
          <w:szCs w:val="24"/>
          <w:lang w:val="en-SG"/>
        </w:rPr>
        <w:t>assist in</w:t>
      </w:r>
      <w:r w:rsidR="00A47CBC">
        <w:rPr>
          <w:sz w:val="24"/>
          <w:szCs w:val="24"/>
          <w:lang w:val="en-SG"/>
        </w:rPr>
        <w:t xml:space="preserve"> </w:t>
      </w:r>
      <w:r w:rsidR="00ED5A25">
        <w:rPr>
          <w:sz w:val="24"/>
          <w:szCs w:val="24"/>
          <w:lang w:val="en-SG"/>
        </w:rPr>
        <w:t xml:space="preserve">the battle. </w:t>
      </w:r>
      <w:r w:rsidR="002A313B">
        <w:rPr>
          <w:sz w:val="24"/>
          <w:szCs w:val="24"/>
          <w:lang w:val="en-SG"/>
        </w:rPr>
        <w:t>Th</w:t>
      </w:r>
      <w:r w:rsidR="002C53E6">
        <w:rPr>
          <w:sz w:val="24"/>
          <w:szCs w:val="24"/>
          <w:lang w:val="en-SG"/>
        </w:rPr>
        <w:t>is</w:t>
      </w:r>
      <w:r w:rsidR="002A313B">
        <w:rPr>
          <w:sz w:val="24"/>
          <w:szCs w:val="24"/>
          <w:lang w:val="en-SG"/>
        </w:rPr>
        <w:t xml:space="preserve"> common law duty remains important despite more targeted measures</w:t>
      </w:r>
      <w:r w:rsidR="002C53E6">
        <w:rPr>
          <w:sz w:val="24"/>
          <w:szCs w:val="24"/>
          <w:lang w:val="en-SG"/>
        </w:rPr>
        <w:t xml:space="preserve"> in the </w:t>
      </w:r>
      <w:r w:rsidR="004558C8">
        <w:rPr>
          <w:sz w:val="24"/>
          <w:szCs w:val="24"/>
          <w:lang w:val="en-SG"/>
        </w:rPr>
        <w:t>C</w:t>
      </w:r>
      <w:r w:rsidR="002C53E6">
        <w:rPr>
          <w:sz w:val="24"/>
          <w:szCs w:val="24"/>
          <w:lang w:val="en-SG"/>
        </w:rPr>
        <w:t>odes</w:t>
      </w:r>
      <w:r w:rsidR="00AB61C2">
        <w:rPr>
          <w:sz w:val="24"/>
          <w:szCs w:val="24"/>
          <w:lang w:val="en-SG"/>
        </w:rPr>
        <w:t xml:space="preserve">. The Codes </w:t>
      </w:r>
      <w:r w:rsidR="002C53E6">
        <w:rPr>
          <w:sz w:val="24"/>
          <w:szCs w:val="24"/>
          <w:lang w:val="en-SG"/>
        </w:rPr>
        <w:t xml:space="preserve">tend to </w:t>
      </w:r>
      <w:r w:rsidR="004558C8">
        <w:rPr>
          <w:sz w:val="24"/>
          <w:szCs w:val="24"/>
          <w:lang w:val="en-SG"/>
        </w:rPr>
        <w:t xml:space="preserve">limit their </w:t>
      </w:r>
      <w:r w:rsidR="002C53E6">
        <w:rPr>
          <w:sz w:val="24"/>
          <w:szCs w:val="24"/>
          <w:lang w:val="en-SG"/>
        </w:rPr>
        <w:t>protect</w:t>
      </w:r>
      <w:r w:rsidR="004558C8">
        <w:rPr>
          <w:sz w:val="24"/>
          <w:szCs w:val="24"/>
          <w:lang w:val="en-SG"/>
        </w:rPr>
        <w:t>ion to</w:t>
      </w:r>
      <w:r w:rsidR="002C53E6">
        <w:rPr>
          <w:sz w:val="24"/>
          <w:szCs w:val="24"/>
          <w:lang w:val="en-SG"/>
        </w:rPr>
        <w:t xml:space="preserve"> consumers</w:t>
      </w:r>
      <w:r w:rsidR="004558C8">
        <w:rPr>
          <w:sz w:val="24"/>
          <w:szCs w:val="24"/>
          <w:lang w:val="en-SG"/>
        </w:rPr>
        <w:t xml:space="preserve"> and perhaps small businesses;</w:t>
      </w:r>
      <w:r w:rsidR="002C53E6">
        <w:rPr>
          <w:sz w:val="24"/>
          <w:szCs w:val="24"/>
          <w:lang w:val="en-SG"/>
        </w:rPr>
        <w:t xml:space="preserve"> they </w:t>
      </w:r>
      <w:r w:rsidR="002A313B">
        <w:rPr>
          <w:sz w:val="24"/>
          <w:szCs w:val="24"/>
          <w:lang w:val="en-SG"/>
        </w:rPr>
        <w:t xml:space="preserve">may </w:t>
      </w:r>
      <w:r w:rsidR="004558C8">
        <w:rPr>
          <w:sz w:val="24"/>
          <w:szCs w:val="24"/>
          <w:lang w:val="en-SG"/>
        </w:rPr>
        <w:t>also be limited</w:t>
      </w:r>
      <w:r w:rsidR="002A313B">
        <w:rPr>
          <w:sz w:val="24"/>
          <w:szCs w:val="24"/>
          <w:lang w:val="en-SG"/>
        </w:rPr>
        <w:t xml:space="preserve"> to domestic payments</w:t>
      </w:r>
      <w:r w:rsidR="004558C8">
        <w:rPr>
          <w:sz w:val="24"/>
          <w:szCs w:val="24"/>
          <w:lang w:val="en-SG"/>
        </w:rPr>
        <w:t>; and they may</w:t>
      </w:r>
      <w:r w:rsidR="002A313B">
        <w:rPr>
          <w:sz w:val="24"/>
          <w:szCs w:val="24"/>
          <w:lang w:val="en-SG"/>
        </w:rPr>
        <w:t xml:space="preserve"> </w:t>
      </w:r>
      <w:r w:rsidR="002C53E6">
        <w:rPr>
          <w:sz w:val="24"/>
          <w:szCs w:val="24"/>
          <w:lang w:val="en-SG"/>
        </w:rPr>
        <w:t xml:space="preserve">be </w:t>
      </w:r>
      <w:r w:rsidR="00CB49C5">
        <w:rPr>
          <w:sz w:val="24"/>
          <w:szCs w:val="24"/>
          <w:lang w:val="en-SG"/>
        </w:rPr>
        <w:t xml:space="preserve">further </w:t>
      </w:r>
      <w:r w:rsidR="002C53E6">
        <w:rPr>
          <w:sz w:val="24"/>
          <w:szCs w:val="24"/>
          <w:lang w:val="en-SG"/>
        </w:rPr>
        <w:t>limited to</w:t>
      </w:r>
      <w:r w:rsidR="002A313B">
        <w:rPr>
          <w:sz w:val="24"/>
          <w:szCs w:val="24"/>
          <w:lang w:val="en-SG"/>
        </w:rPr>
        <w:t xml:space="preserve"> certain payment mechanisms</w:t>
      </w:r>
      <w:r w:rsidR="002C53E6">
        <w:rPr>
          <w:sz w:val="24"/>
          <w:szCs w:val="24"/>
          <w:lang w:val="en-SG"/>
        </w:rPr>
        <w:t xml:space="preserve"> or systems</w:t>
      </w:r>
      <w:r w:rsidR="002A313B">
        <w:rPr>
          <w:sz w:val="24"/>
          <w:szCs w:val="24"/>
          <w:lang w:val="en-SG"/>
        </w:rPr>
        <w:t xml:space="preserve">. </w:t>
      </w:r>
    </w:p>
    <w:p w14:paraId="75BAFF94" w14:textId="00DB3319" w:rsidR="005C0AAA" w:rsidRPr="007E0D63" w:rsidRDefault="006200EF" w:rsidP="007E0D63">
      <w:pPr>
        <w:pStyle w:val="ListParagraph"/>
        <w:numPr>
          <w:ilvl w:val="0"/>
          <w:numId w:val="3"/>
        </w:numPr>
        <w:rPr>
          <w:sz w:val="24"/>
          <w:szCs w:val="24"/>
        </w:rPr>
      </w:pPr>
      <w:r>
        <w:rPr>
          <w:sz w:val="24"/>
          <w:szCs w:val="24"/>
        </w:rPr>
        <w:t>The</w:t>
      </w:r>
      <w:r w:rsidR="006C47B9">
        <w:rPr>
          <w:sz w:val="24"/>
          <w:szCs w:val="24"/>
        </w:rPr>
        <w:t xml:space="preserve"> </w:t>
      </w:r>
      <w:r w:rsidR="005C0AAA">
        <w:rPr>
          <w:sz w:val="24"/>
          <w:szCs w:val="24"/>
        </w:rPr>
        <w:t xml:space="preserve">Bank’s Duty of Care </w:t>
      </w:r>
    </w:p>
    <w:p w14:paraId="5B000CD1" w14:textId="783CDF1C" w:rsidR="00BE6C07" w:rsidRDefault="00701307" w:rsidP="00BE6C07">
      <w:pPr>
        <w:rPr>
          <w:sz w:val="24"/>
          <w:szCs w:val="24"/>
        </w:rPr>
      </w:pPr>
      <w:r>
        <w:rPr>
          <w:sz w:val="24"/>
          <w:szCs w:val="24"/>
        </w:rPr>
        <w:t>S</w:t>
      </w:r>
      <w:r w:rsidR="00DE5E62" w:rsidRPr="00B93116">
        <w:rPr>
          <w:sz w:val="24"/>
          <w:szCs w:val="24"/>
        </w:rPr>
        <w:t xml:space="preserve">ervice providers must </w:t>
      </w:r>
      <w:r>
        <w:rPr>
          <w:sz w:val="24"/>
          <w:szCs w:val="24"/>
        </w:rPr>
        <w:t xml:space="preserve">generally </w:t>
      </w:r>
      <w:r w:rsidR="00DE5E62" w:rsidRPr="00B93116">
        <w:rPr>
          <w:sz w:val="24"/>
          <w:szCs w:val="24"/>
        </w:rPr>
        <w:t xml:space="preserve">act </w:t>
      </w:r>
      <w:r w:rsidRPr="00B93116">
        <w:rPr>
          <w:sz w:val="24"/>
          <w:szCs w:val="24"/>
        </w:rPr>
        <w:t>car</w:t>
      </w:r>
      <w:r>
        <w:rPr>
          <w:sz w:val="24"/>
          <w:szCs w:val="24"/>
        </w:rPr>
        <w:t>efully</w:t>
      </w:r>
      <w:r w:rsidR="00DE5E62" w:rsidRPr="00B93116">
        <w:rPr>
          <w:sz w:val="24"/>
          <w:szCs w:val="24"/>
        </w:rPr>
        <w:t xml:space="preserve"> in providing their services. </w:t>
      </w:r>
      <w:r>
        <w:rPr>
          <w:sz w:val="24"/>
          <w:szCs w:val="24"/>
        </w:rPr>
        <w:t xml:space="preserve">In common law countries, </w:t>
      </w:r>
      <w:r w:rsidR="00A10CFF">
        <w:rPr>
          <w:sz w:val="24"/>
          <w:szCs w:val="24"/>
        </w:rPr>
        <w:t>this</w:t>
      </w:r>
      <w:r>
        <w:rPr>
          <w:sz w:val="24"/>
          <w:szCs w:val="24"/>
        </w:rPr>
        <w:t xml:space="preserve"> duty of care has been developed and upheld by the courts.</w:t>
      </w:r>
      <w:r w:rsidR="000138DA">
        <w:rPr>
          <w:sz w:val="24"/>
          <w:szCs w:val="24"/>
        </w:rPr>
        <w:t xml:space="preserve"> </w:t>
      </w:r>
      <w:r w:rsidR="004B7E73">
        <w:rPr>
          <w:sz w:val="24"/>
          <w:szCs w:val="24"/>
        </w:rPr>
        <w:t>B</w:t>
      </w:r>
      <w:r w:rsidR="00A10CFF">
        <w:rPr>
          <w:sz w:val="24"/>
          <w:szCs w:val="24"/>
        </w:rPr>
        <w:t xml:space="preserve">ecause </w:t>
      </w:r>
      <w:r w:rsidR="00DE5E62" w:rsidRPr="00B93116">
        <w:rPr>
          <w:sz w:val="24"/>
          <w:szCs w:val="24"/>
        </w:rPr>
        <w:t xml:space="preserve">services are typically rendered pursuant to contract, the duty of care </w:t>
      </w:r>
      <w:r w:rsidR="00AA1053">
        <w:rPr>
          <w:sz w:val="24"/>
          <w:szCs w:val="24"/>
        </w:rPr>
        <w:t xml:space="preserve">is </w:t>
      </w:r>
      <w:r w:rsidR="00A10CFF">
        <w:rPr>
          <w:sz w:val="24"/>
          <w:szCs w:val="24"/>
        </w:rPr>
        <w:t xml:space="preserve">most often </w:t>
      </w:r>
      <w:r w:rsidR="00AA1053">
        <w:rPr>
          <w:sz w:val="24"/>
          <w:szCs w:val="24"/>
        </w:rPr>
        <w:t xml:space="preserve">recognised </w:t>
      </w:r>
      <w:r w:rsidR="00DE5E62" w:rsidRPr="00B93116">
        <w:rPr>
          <w:sz w:val="24"/>
          <w:szCs w:val="24"/>
        </w:rPr>
        <w:t>as an implied term in the contract</w:t>
      </w:r>
      <w:r w:rsidR="002805C1">
        <w:rPr>
          <w:sz w:val="24"/>
          <w:szCs w:val="24"/>
        </w:rPr>
        <w:t>,</w:t>
      </w:r>
      <w:r w:rsidR="00E255E1" w:rsidRPr="00E255E1">
        <w:rPr>
          <w:rStyle w:val="FootnoteReference"/>
          <w:sz w:val="24"/>
          <w:szCs w:val="24"/>
        </w:rPr>
        <w:footnoteReference w:id="28"/>
      </w:r>
      <w:r w:rsidR="002805C1">
        <w:rPr>
          <w:sz w:val="24"/>
          <w:szCs w:val="24"/>
        </w:rPr>
        <w:t xml:space="preserve"> but the duty </w:t>
      </w:r>
      <w:r w:rsidR="00BE6C07">
        <w:rPr>
          <w:sz w:val="24"/>
          <w:szCs w:val="24"/>
        </w:rPr>
        <w:t xml:space="preserve">potentially also </w:t>
      </w:r>
      <w:r w:rsidR="002805C1">
        <w:rPr>
          <w:sz w:val="24"/>
          <w:szCs w:val="24"/>
        </w:rPr>
        <w:t>arise</w:t>
      </w:r>
      <w:r w:rsidR="00BE6C07">
        <w:rPr>
          <w:sz w:val="24"/>
          <w:szCs w:val="24"/>
        </w:rPr>
        <w:t>s</w:t>
      </w:r>
      <w:r w:rsidR="002805C1">
        <w:rPr>
          <w:sz w:val="24"/>
          <w:szCs w:val="24"/>
        </w:rPr>
        <w:t xml:space="preserve"> in tort.</w:t>
      </w:r>
      <w:r w:rsidR="002805C1">
        <w:rPr>
          <w:rStyle w:val="FootnoteReference"/>
          <w:sz w:val="24"/>
          <w:szCs w:val="24"/>
        </w:rPr>
        <w:footnoteReference w:id="29"/>
      </w:r>
      <w:r w:rsidR="00E255E1" w:rsidRPr="00B93116">
        <w:rPr>
          <w:sz w:val="24"/>
          <w:szCs w:val="24"/>
        </w:rPr>
        <w:t xml:space="preserve"> </w:t>
      </w:r>
      <w:r w:rsidR="00DC1CE0" w:rsidRPr="00B93116">
        <w:rPr>
          <w:sz w:val="24"/>
          <w:szCs w:val="24"/>
        </w:rPr>
        <w:t xml:space="preserve">In some countries, such as the UK and Hong Kong, legislation provides for an implied term that a service supplied in the course of a business, will be </w:t>
      </w:r>
      <w:r w:rsidR="00AB7C9A" w:rsidRPr="00B93116">
        <w:rPr>
          <w:sz w:val="24"/>
          <w:szCs w:val="24"/>
        </w:rPr>
        <w:t>rendered with reasonable care.</w:t>
      </w:r>
      <w:r w:rsidR="00AB7C9A" w:rsidRPr="00B93116">
        <w:rPr>
          <w:rStyle w:val="FootnoteReference"/>
          <w:sz w:val="24"/>
          <w:szCs w:val="24"/>
        </w:rPr>
        <w:footnoteReference w:id="30"/>
      </w:r>
      <w:r w:rsidR="00AB7C9A" w:rsidRPr="00B93116">
        <w:rPr>
          <w:sz w:val="24"/>
          <w:szCs w:val="24"/>
        </w:rPr>
        <w:t xml:space="preserve"> </w:t>
      </w:r>
      <w:r w:rsidR="00E255E1">
        <w:rPr>
          <w:sz w:val="24"/>
          <w:szCs w:val="24"/>
        </w:rPr>
        <w:t xml:space="preserve">For </w:t>
      </w:r>
      <w:r w:rsidR="00CB49C5">
        <w:rPr>
          <w:sz w:val="24"/>
          <w:szCs w:val="24"/>
        </w:rPr>
        <w:t xml:space="preserve">one or both of </w:t>
      </w:r>
      <w:r w:rsidR="00E255E1">
        <w:rPr>
          <w:sz w:val="24"/>
          <w:szCs w:val="24"/>
        </w:rPr>
        <w:t>these reasons, b</w:t>
      </w:r>
      <w:r w:rsidR="0085626C" w:rsidRPr="00B93116">
        <w:rPr>
          <w:sz w:val="24"/>
          <w:szCs w:val="24"/>
        </w:rPr>
        <w:t>anks</w:t>
      </w:r>
      <w:r w:rsidR="00E255E1">
        <w:rPr>
          <w:sz w:val="24"/>
          <w:szCs w:val="24"/>
        </w:rPr>
        <w:t xml:space="preserve"> </w:t>
      </w:r>
      <w:r w:rsidR="0085626C" w:rsidRPr="00B93116">
        <w:rPr>
          <w:sz w:val="24"/>
          <w:szCs w:val="24"/>
        </w:rPr>
        <w:t xml:space="preserve">as </w:t>
      </w:r>
      <w:r w:rsidR="00C436BF" w:rsidRPr="00B93116">
        <w:rPr>
          <w:sz w:val="24"/>
          <w:szCs w:val="24"/>
        </w:rPr>
        <w:t xml:space="preserve">providers of </w:t>
      </w:r>
      <w:r w:rsidR="0085626C" w:rsidRPr="00B93116">
        <w:rPr>
          <w:sz w:val="24"/>
          <w:szCs w:val="24"/>
        </w:rPr>
        <w:t>financial services</w:t>
      </w:r>
      <w:r w:rsidR="00C436BF" w:rsidRPr="00B93116">
        <w:rPr>
          <w:sz w:val="24"/>
          <w:szCs w:val="24"/>
        </w:rPr>
        <w:t>,</w:t>
      </w:r>
      <w:r w:rsidR="0085626C" w:rsidRPr="00B93116">
        <w:rPr>
          <w:sz w:val="24"/>
          <w:szCs w:val="24"/>
        </w:rPr>
        <w:t xml:space="preserve"> find themselves </w:t>
      </w:r>
      <w:r w:rsidR="0091764B" w:rsidRPr="00B93116">
        <w:rPr>
          <w:sz w:val="24"/>
          <w:szCs w:val="24"/>
        </w:rPr>
        <w:t>subject to a duty of care</w:t>
      </w:r>
      <w:r w:rsidR="00E255E1">
        <w:rPr>
          <w:sz w:val="24"/>
          <w:szCs w:val="24"/>
        </w:rPr>
        <w:t>.</w:t>
      </w:r>
      <w:r w:rsidR="00A47CBC">
        <w:rPr>
          <w:rStyle w:val="FootnoteReference"/>
          <w:rFonts w:ascii="Calibri" w:eastAsia="Calibri" w:hAnsi="Calibri" w:cs="Arial"/>
          <w:color w:val="000000"/>
          <w:sz w:val="24"/>
          <w:szCs w:val="24"/>
          <w:lang w:val="en-US"/>
        </w:rPr>
        <w:footnoteReference w:id="31"/>
      </w:r>
      <w:r w:rsidR="00E255E1">
        <w:rPr>
          <w:sz w:val="24"/>
          <w:szCs w:val="24"/>
        </w:rPr>
        <w:t xml:space="preserve"> </w:t>
      </w:r>
      <w:r w:rsidR="00BE6C07">
        <w:rPr>
          <w:sz w:val="24"/>
          <w:szCs w:val="24"/>
        </w:rPr>
        <w:t xml:space="preserve">The standard of care </w:t>
      </w:r>
      <w:r w:rsidR="00C442BB">
        <w:rPr>
          <w:sz w:val="24"/>
          <w:szCs w:val="24"/>
        </w:rPr>
        <w:t xml:space="preserve">required </w:t>
      </w:r>
      <w:r w:rsidR="00BE6C07">
        <w:rPr>
          <w:sz w:val="24"/>
          <w:szCs w:val="24"/>
        </w:rPr>
        <w:t xml:space="preserve">is </w:t>
      </w:r>
      <w:r w:rsidR="00C442BB">
        <w:rPr>
          <w:sz w:val="24"/>
          <w:szCs w:val="24"/>
        </w:rPr>
        <w:t xml:space="preserve">to match the conduct </w:t>
      </w:r>
      <w:r w:rsidR="00BE6C07">
        <w:rPr>
          <w:sz w:val="24"/>
          <w:szCs w:val="24"/>
        </w:rPr>
        <w:t>of the reasonably prudent bank.</w:t>
      </w:r>
      <w:r w:rsidR="00BE6C07">
        <w:rPr>
          <w:rStyle w:val="FootnoteReference"/>
          <w:sz w:val="24"/>
          <w:szCs w:val="24"/>
        </w:rPr>
        <w:footnoteReference w:id="32"/>
      </w:r>
      <w:r w:rsidR="00BE6C07">
        <w:rPr>
          <w:sz w:val="24"/>
          <w:szCs w:val="24"/>
        </w:rPr>
        <w:t xml:space="preserve"> </w:t>
      </w:r>
    </w:p>
    <w:p w14:paraId="16D50FE6" w14:textId="3E2B0935" w:rsidR="00D817A3" w:rsidRDefault="00E255E1" w:rsidP="002A34B1">
      <w:pPr>
        <w:rPr>
          <w:rFonts w:ascii="Calibri" w:eastAsia="Calibri" w:hAnsi="Calibri" w:cs="Arial"/>
          <w:color w:val="000000"/>
          <w:sz w:val="24"/>
          <w:szCs w:val="24"/>
          <w:lang w:val="en-US"/>
        </w:rPr>
      </w:pPr>
      <w:r>
        <w:rPr>
          <w:sz w:val="24"/>
          <w:szCs w:val="24"/>
        </w:rPr>
        <w:t xml:space="preserve">The duty </w:t>
      </w:r>
      <w:r w:rsidR="0091764B" w:rsidRPr="00B93116">
        <w:rPr>
          <w:sz w:val="24"/>
          <w:szCs w:val="24"/>
        </w:rPr>
        <w:t xml:space="preserve">potentially applies to a wide range of bank conduct envisaged by the bank-customer </w:t>
      </w:r>
      <w:r w:rsidR="00D23D25">
        <w:rPr>
          <w:sz w:val="24"/>
          <w:szCs w:val="24"/>
        </w:rPr>
        <w:t>contract,</w:t>
      </w:r>
      <w:r w:rsidR="006D57A2">
        <w:rPr>
          <w:rStyle w:val="FootnoteReference"/>
          <w:sz w:val="24"/>
          <w:szCs w:val="24"/>
        </w:rPr>
        <w:footnoteReference w:id="33"/>
      </w:r>
      <w:r w:rsidR="006D57A2">
        <w:rPr>
          <w:sz w:val="24"/>
          <w:szCs w:val="24"/>
        </w:rPr>
        <w:t xml:space="preserve"> </w:t>
      </w:r>
      <w:r w:rsidR="00D23D25">
        <w:rPr>
          <w:sz w:val="24"/>
          <w:szCs w:val="24"/>
        </w:rPr>
        <w:t>including the e</w:t>
      </w:r>
      <w:r w:rsidR="006A5A76">
        <w:rPr>
          <w:sz w:val="24"/>
          <w:szCs w:val="24"/>
        </w:rPr>
        <w:t>xecuti</w:t>
      </w:r>
      <w:r w:rsidR="002C53E6">
        <w:rPr>
          <w:sz w:val="24"/>
          <w:szCs w:val="24"/>
        </w:rPr>
        <w:t>on</w:t>
      </w:r>
      <w:r w:rsidR="00D23D25">
        <w:rPr>
          <w:sz w:val="24"/>
          <w:szCs w:val="24"/>
        </w:rPr>
        <w:t xml:space="preserve"> of</w:t>
      </w:r>
      <w:r w:rsidR="006A5A76">
        <w:rPr>
          <w:sz w:val="24"/>
          <w:szCs w:val="24"/>
        </w:rPr>
        <w:t xml:space="preserve"> payment instructions</w:t>
      </w:r>
      <w:r w:rsidR="00D23D25">
        <w:rPr>
          <w:rFonts w:ascii="Calibri" w:eastAsia="Calibri" w:hAnsi="Calibri" w:cs="Arial"/>
          <w:color w:val="000000"/>
          <w:sz w:val="24"/>
          <w:szCs w:val="24"/>
          <w:lang w:val="en-US"/>
        </w:rPr>
        <w:t>.</w:t>
      </w:r>
      <w:r w:rsidR="00BC4638">
        <w:rPr>
          <w:rFonts w:ascii="Calibri" w:eastAsia="Calibri" w:hAnsi="Calibri" w:cs="Arial"/>
          <w:color w:val="000000"/>
          <w:sz w:val="24"/>
          <w:szCs w:val="24"/>
          <w:lang w:val="en-US"/>
        </w:rPr>
        <w:t xml:space="preserve"> </w:t>
      </w:r>
      <w:r w:rsidR="00D23D25" w:rsidRPr="002A34B1">
        <w:rPr>
          <w:rFonts w:ascii="Calibri" w:eastAsia="Calibri" w:hAnsi="Calibri" w:cs="Arial"/>
          <w:color w:val="000000"/>
          <w:sz w:val="24"/>
          <w:szCs w:val="24"/>
          <w:lang w:val="en-US"/>
        </w:rPr>
        <w:t>T</w:t>
      </w:r>
      <w:r w:rsidR="002A34B1" w:rsidRPr="002A34B1">
        <w:rPr>
          <w:rFonts w:ascii="Calibri" w:eastAsia="Calibri" w:hAnsi="Calibri" w:cs="Arial"/>
          <w:color w:val="000000"/>
          <w:sz w:val="24"/>
          <w:szCs w:val="24"/>
          <w:lang w:val="en-US"/>
        </w:rPr>
        <w:t xml:space="preserve">he bank’s duty of care </w:t>
      </w:r>
      <w:r w:rsidR="00EE7D5B">
        <w:rPr>
          <w:rFonts w:ascii="Calibri" w:eastAsia="Calibri" w:hAnsi="Calibri" w:cs="Arial"/>
          <w:color w:val="000000"/>
          <w:sz w:val="24"/>
          <w:szCs w:val="24"/>
          <w:lang w:val="en-US"/>
        </w:rPr>
        <w:t>in th</w:t>
      </w:r>
      <w:r w:rsidR="00C442BB">
        <w:rPr>
          <w:rFonts w:ascii="Calibri" w:eastAsia="Calibri" w:hAnsi="Calibri" w:cs="Arial"/>
          <w:color w:val="000000"/>
          <w:sz w:val="24"/>
          <w:szCs w:val="24"/>
          <w:lang w:val="en-US"/>
        </w:rPr>
        <w:t xml:space="preserve">is specific </w:t>
      </w:r>
      <w:r w:rsidR="00EE7D5B">
        <w:rPr>
          <w:rFonts w:ascii="Calibri" w:eastAsia="Calibri" w:hAnsi="Calibri" w:cs="Arial"/>
          <w:color w:val="000000"/>
          <w:sz w:val="24"/>
          <w:szCs w:val="24"/>
          <w:lang w:val="en-US"/>
        </w:rPr>
        <w:t>context</w:t>
      </w:r>
      <w:r w:rsidR="00082E75">
        <w:rPr>
          <w:rFonts w:ascii="Calibri" w:eastAsia="Calibri" w:hAnsi="Calibri" w:cs="Arial"/>
          <w:color w:val="000000"/>
          <w:sz w:val="24"/>
          <w:szCs w:val="24"/>
          <w:lang w:val="en-US"/>
        </w:rPr>
        <w:t>, which</w:t>
      </w:r>
      <w:r w:rsidR="00B872AE">
        <w:rPr>
          <w:rFonts w:ascii="Calibri" w:eastAsia="Calibri" w:hAnsi="Calibri" w:cs="Arial"/>
          <w:color w:val="000000"/>
          <w:sz w:val="24"/>
          <w:szCs w:val="24"/>
          <w:lang w:val="en-US"/>
        </w:rPr>
        <w:t xml:space="preserve"> </w:t>
      </w:r>
      <w:r w:rsidR="00A93B8A">
        <w:rPr>
          <w:rFonts w:ascii="Calibri" w:eastAsia="Calibri" w:hAnsi="Calibri" w:cs="Arial"/>
          <w:color w:val="000000"/>
          <w:sz w:val="24"/>
          <w:szCs w:val="24"/>
          <w:lang w:val="en-US"/>
        </w:rPr>
        <w:t xml:space="preserve">raises particular challenges, </w:t>
      </w:r>
      <w:r w:rsidR="004B11BE">
        <w:rPr>
          <w:rFonts w:ascii="Calibri" w:eastAsia="Calibri" w:hAnsi="Calibri" w:cs="Arial"/>
          <w:color w:val="000000"/>
          <w:sz w:val="24"/>
          <w:szCs w:val="24"/>
          <w:lang w:val="en-US"/>
        </w:rPr>
        <w:t>has</w:t>
      </w:r>
      <w:r w:rsidR="00093533">
        <w:rPr>
          <w:rFonts w:ascii="Calibri" w:eastAsia="Calibri" w:hAnsi="Calibri" w:cs="Arial"/>
          <w:color w:val="000000"/>
          <w:sz w:val="24"/>
          <w:szCs w:val="24"/>
          <w:lang w:val="en-US"/>
        </w:rPr>
        <w:t xml:space="preserve"> come to be known as</w:t>
      </w:r>
      <w:r w:rsidR="00093533" w:rsidRPr="002A34B1">
        <w:rPr>
          <w:rFonts w:ascii="Calibri" w:eastAsia="Calibri" w:hAnsi="Calibri" w:cs="Arial"/>
          <w:color w:val="000000"/>
          <w:sz w:val="24"/>
          <w:szCs w:val="24"/>
          <w:lang w:val="en-US"/>
        </w:rPr>
        <w:t xml:space="preserve"> </w:t>
      </w:r>
      <w:bookmarkStart w:id="12" w:name="_Hlk72397902"/>
      <w:r w:rsidR="00093533" w:rsidRPr="002A34B1">
        <w:rPr>
          <w:rFonts w:ascii="Calibri" w:eastAsia="Calibri" w:hAnsi="Calibri" w:cs="Arial"/>
          <w:color w:val="000000"/>
          <w:sz w:val="24"/>
          <w:szCs w:val="24"/>
          <w:lang w:val="en-US"/>
        </w:rPr>
        <w:t xml:space="preserve">the </w:t>
      </w:r>
      <w:bookmarkStart w:id="13" w:name="_Hlk73957373"/>
      <w:r w:rsidR="00A47CBC">
        <w:rPr>
          <w:rFonts w:ascii="Calibri" w:eastAsia="Calibri" w:hAnsi="Calibri" w:cs="Arial"/>
          <w:color w:val="000000"/>
          <w:sz w:val="24"/>
          <w:szCs w:val="24"/>
          <w:lang w:val="en-US"/>
        </w:rPr>
        <w:t>‘</w:t>
      </w:r>
      <w:r w:rsidR="00093533" w:rsidRPr="002A34B1">
        <w:rPr>
          <w:rFonts w:ascii="Calibri" w:eastAsia="Calibri" w:hAnsi="Calibri" w:cs="Arial"/>
          <w:i/>
          <w:iCs/>
          <w:color w:val="000000"/>
          <w:sz w:val="24"/>
          <w:szCs w:val="24"/>
          <w:lang w:val="en-US"/>
        </w:rPr>
        <w:t xml:space="preserve">Quincecare </w:t>
      </w:r>
      <w:r w:rsidR="00093533" w:rsidRPr="002A34B1">
        <w:rPr>
          <w:rFonts w:ascii="Calibri" w:eastAsia="Calibri" w:hAnsi="Calibri" w:cs="Arial"/>
          <w:color w:val="000000"/>
          <w:sz w:val="24"/>
          <w:szCs w:val="24"/>
          <w:lang w:val="en-US"/>
        </w:rPr>
        <w:t>duty</w:t>
      </w:r>
      <w:bookmarkEnd w:id="12"/>
      <w:bookmarkEnd w:id="13"/>
      <w:r w:rsidR="00A47CBC">
        <w:rPr>
          <w:rFonts w:ascii="Calibri" w:eastAsia="Calibri" w:hAnsi="Calibri" w:cs="Arial"/>
          <w:color w:val="000000"/>
          <w:sz w:val="24"/>
          <w:szCs w:val="24"/>
          <w:lang w:val="en-US"/>
        </w:rPr>
        <w:t>’</w:t>
      </w:r>
      <w:r w:rsidR="000570B4">
        <w:rPr>
          <w:rFonts w:ascii="Calibri" w:eastAsia="Calibri" w:hAnsi="Calibri" w:cs="Arial"/>
          <w:color w:val="000000"/>
          <w:sz w:val="24"/>
          <w:szCs w:val="24"/>
          <w:lang w:val="en-US"/>
        </w:rPr>
        <w:t xml:space="preserve"> </w:t>
      </w:r>
      <w:r w:rsidR="00093533">
        <w:rPr>
          <w:rFonts w:ascii="Calibri" w:eastAsia="Calibri" w:hAnsi="Calibri" w:cs="Arial"/>
          <w:color w:val="000000"/>
          <w:sz w:val="24"/>
          <w:szCs w:val="24"/>
          <w:lang w:val="en-US"/>
        </w:rPr>
        <w:t xml:space="preserve">after </w:t>
      </w:r>
      <w:r w:rsidR="00BC4638">
        <w:rPr>
          <w:rFonts w:ascii="Calibri" w:eastAsia="Calibri" w:hAnsi="Calibri" w:cs="Arial"/>
          <w:color w:val="000000"/>
          <w:sz w:val="24"/>
          <w:szCs w:val="24"/>
          <w:lang w:val="en-US"/>
        </w:rPr>
        <w:t xml:space="preserve">the 1988 High Court decision of Steyn J </w:t>
      </w:r>
      <w:r w:rsidR="00BC4638" w:rsidRPr="002A34B1">
        <w:rPr>
          <w:rFonts w:ascii="Calibri" w:eastAsia="Calibri" w:hAnsi="Calibri" w:cs="Arial"/>
          <w:color w:val="000000"/>
          <w:sz w:val="24"/>
          <w:szCs w:val="24"/>
          <w:lang w:val="en-US"/>
        </w:rPr>
        <w:t xml:space="preserve">in </w:t>
      </w:r>
      <w:r w:rsidR="00BC4638" w:rsidRPr="00DF3C83">
        <w:rPr>
          <w:rFonts w:ascii="Calibri" w:eastAsia="Calibri" w:hAnsi="Calibri" w:cs="Arial"/>
          <w:i/>
          <w:iCs/>
          <w:color w:val="000000"/>
          <w:sz w:val="24"/>
          <w:szCs w:val="24"/>
        </w:rPr>
        <w:t>Barclays Bank plc v Quincecare Ltd</w:t>
      </w:r>
      <w:r w:rsidR="00093533">
        <w:rPr>
          <w:rFonts w:ascii="Calibri" w:eastAsia="Calibri" w:hAnsi="Calibri" w:cs="Arial"/>
          <w:color w:val="000000"/>
          <w:sz w:val="24"/>
          <w:szCs w:val="24"/>
        </w:rPr>
        <w:t>.</w:t>
      </w:r>
      <w:r w:rsidR="00BC4638">
        <w:rPr>
          <w:rStyle w:val="FootnoteReference"/>
          <w:rFonts w:ascii="Calibri" w:eastAsia="Calibri" w:hAnsi="Calibri" w:cs="Arial"/>
          <w:color w:val="000000"/>
          <w:sz w:val="24"/>
          <w:szCs w:val="24"/>
          <w:lang w:val="en-US"/>
        </w:rPr>
        <w:footnoteReference w:id="34"/>
      </w:r>
      <w:r w:rsidR="004B11BE" w:rsidRPr="004B11BE">
        <w:rPr>
          <w:rFonts w:ascii="Calibri" w:eastAsia="Calibri" w:hAnsi="Calibri" w:cs="Arial"/>
          <w:color w:val="000000"/>
          <w:sz w:val="24"/>
          <w:szCs w:val="24"/>
          <w:lang w:val="en-US"/>
        </w:rPr>
        <w:t xml:space="preserve"> </w:t>
      </w:r>
      <w:r w:rsidR="00305263">
        <w:rPr>
          <w:rFonts w:ascii="Calibri" w:eastAsia="Calibri" w:hAnsi="Calibri" w:cs="Arial"/>
          <w:color w:val="000000"/>
          <w:sz w:val="24"/>
          <w:szCs w:val="24"/>
          <w:lang w:val="en-US"/>
        </w:rPr>
        <w:t>Steyn J</w:t>
      </w:r>
      <w:r w:rsidR="00034AE0">
        <w:rPr>
          <w:sz w:val="24"/>
          <w:szCs w:val="24"/>
        </w:rPr>
        <w:t xml:space="preserve"> explained that the </w:t>
      </w:r>
      <w:r w:rsidR="004B7E73">
        <w:rPr>
          <w:sz w:val="24"/>
          <w:szCs w:val="24"/>
        </w:rPr>
        <w:t xml:space="preserve">duty fills the gap between the strict </w:t>
      </w:r>
      <w:r w:rsidR="004B7E73">
        <w:rPr>
          <w:sz w:val="24"/>
          <w:szCs w:val="24"/>
        </w:rPr>
        <w:lastRenderedPageBreak/>
        <w:t>requirements for dishonest</w:t>
      </w:r>
      <w:r w:rsidR="00B901C9">
        <w:rPr>
          <w:sz w:val="24"/>
          <w:szCs w:val="24"/>
        </w:rPr>
        <w:t>y</w:t>
      </w:r>
      <w:r w:rsidR="004B7E73">
        <w:rPr>
          <w:sz w:val="24"/>
          <w:szCs w:val="24"/>
        </w:rPr>
        <w:t xml:space="preserve"> and non-culpable processing of </w:t>
      </w:r>
      <w:r w:rsidR="00B901C9">
        <w:rPr>
          <w:sz w:val="24"/>
          <w:szCs w:val="24"/>
        </w:rPr>
        <w:t xml:space="preserve">payment </w:t>
      </w:r>
      <w:r w:rsidR="004B7E73">
        <w:rPr>
          <w:sz w:val="24"/>
          <w:szCs w:val="24"/>
        </w:rPr>
        <w:t>instructions</w:t>
      </w:r>
      <w:r w:rsidR="00034AE0">
        <w:rPr>
          <w:sz w:val="24"/>
          <w:szCs w:val="24"/>
        </w:rPr>
        <w:t>.</w:t>
      </w:r>
      <w:r w:rsidR="00034AE0">
        <w:rPr>
          <w:rStyle w:val="FootnoteReference"/>
          <w:sz w:val="24"/>
          <w:szCs w:val="24"/>
        </w:rPr>
        <w:footnoteReference w:id="35"/>
      </w:r>
      <w:r w:rsidR="004B7E73">
        <w:rPr>
          <w:sz w:val="24"/>
          <w:szCs w:val="24"/>
        </w:rPr>
        <w:t xml:space="preserve"> </w:t>
      </w:r>
      <w:r w:rsidR="00034AE0" w:rsidRPr="00B93116">
        <w:rPr>
          <w:rFonts w:ascii="Calibri" w:eastAsia="Calibri" w:hAnsi="Calibri" w:cs="Arial"/>
          <w:color w:val="000000"/>
          <w:sz w:val="24"/>
          <w:szCs w:val="24"/>
          <w:lang w:val="en-US"/>
        </w:rPr>
        <w:t xml:space="preserve">The </w:t>
      </w:r>
      <w:r w:rsidR="00A3464B">
        <w:rPr>
          <w:rFonts w:ascii="Calibri" w:eastAsia="Calibri" w:hAnsi="Calibri" w:cs="Arial"/>
          <w:i/>
          <w:iCs/>
          <w:color w:val="000000"/>
          <w:sz w:val="24"/>
          <w:szCs w:val="24"/>
          <w:lang w:val="en-US"/>
        </w:rPr>
        <w:t xml:space="preserve">Quincecare </w:t>
      </w:r>
      <w:r w:rsidR="00034AE0" w:rsidRPr="002A34B1">
        <w:rPr>
          <w:rFonts w:ascii="Calibri" w:eastAsia="Calibri" w:hAnsi="Calibri" w:cs="Arial"/>
          <w:color w:val="000000"/>
          <w:sz w:val="24"/>
          <w:szCs w:val="24"/>
          <w:lang w:val="en-US"/>
        </w:rPr>
        <w:t>duty</w:t>
      </w:r>
      <w:r w:rsidR="00253DD1">
        <w:rPr>
          <w:rFonts w:ascii="Calibri" w:eastAsia="Calibri" w:hAnsi="Calibri" w:cs="Arial"/>
          <w:color w:val="000000"/>
          <w:sz w:val="24"/>
          <w:szCs w:val="24"/>
          <w:lang w:val="en-US"/>
        </w:rPr>
        <w:t>,</w:t>
      </w:r>
      <w:r w:rsidR="00034AE0" w:rsidRPr="00B93116">
        <w:rPr>
          <w:rFonts w:ascii="Calibri" w:eastAsia="Calibri" w:hAnsi="Calibri" w:cs="Arial"/>
          <w:color w:val="000000"/>
          <w:sz w:val="24"/>
          <w:szCs w:val="24"/>
          <w:lang w:val="en-US"/>
        </w:rPr>
        <w:t xml:space="preserve"> </w:t>
      </w:r>
      <w:r w:rsidR="006A5A76">
        <w:rPr>
          <w:rFonts w:ascii="Calibri" w:eastAsia="Calibri" w:hAnsi="Calibri" w:cs="Arial"/>
          <w:color w:val="000000"/>
          <w:sz w:val="24"/>
          <w:szCs w:val="24"/>
          <w:lang w:val="en-US"/>
        </w:rPr>
        <w:t xml:space="preserve">and the </w:t>
      </w:r>
      <w:r w:rsidR="00D23D25">
        <w:rPr>
          <w:rFonts w:ascii="Calibri" w:eastAsia="Calibri" w:hAnsi="Calibri" w:cs="Arial"/>
          <w:color w:val="000000"/>
          <w:sz w:val="24"/>
          <w:szCs w:val="24"/>
          <w:lang w:val="en-US"/>
        </w:rPr>
        <w:t>key</w:t>
      </w:r>
      <w:r w:rsidR="006A5A76">
        <w:rPr>
          <w:rFonts w:ascii="Calibri" w:eastAsia="Calibri" w:hAnsi="Calibri" w:cs="Arial"/>
          <w:color w:val="000000"/>
          <w:sz w:val="24"/>
          <w:szCs w:val="24"/>
          <w:lang w:val="en-US"/>
        </w:rPr>
        <w:t xml:space="preserve"> English decisions supporting it</w:t>
      </w:r>
      <w:r w:rsidR="00253DD1">
        <w:rPr>
          <w:rFonts w:ascii="Calibri" w:eastAsia="Calibri" w:hAnsi="Calibri" w:cs="Arial"/>
          <w:color w:val="000000"/>
          <w:sz w:val="24"/>
          <w:szCs w:val="24"/>
          <w:lang w:val="en-US"/>
        </w:rPr>
        <w:t>,</w:t>
      </w:r>
      <w:r w:rsidR="006A5A76">
        <w:rPr>
          <w:rFonts w:ascii="Calibri" w:eastAsia="Calibri" w:hAnsi="Calibri" w:cs="Arial"/>
          <w:color w:val="000000"/>
          <w:sz w:val="24"/>
          <w:szCs w:val="24"/>
          <w:lang w:val="en-US"/>
        </w:rPr>
        <w:t xml:space="preserve"> </w:t>
      </w:r>
      <w:r w:rsidR="00034AE0" w:rsidRPr="00B93116">
        <w:rPr>
          <w:rFonts w:ascii="Calibri" w:eastAsia="Calibri" w:hAnsi="Calibri" w:cs="Arial"/>
          <w:color w:val="000000"/>
          <w:sz w:val="24"/>
          <w:szCs w:val="24"/>
          <w:lang w:val="en-US"/>
        </w:rPr>
        <w:t>ha</w:t>
      </w:r>
      <w:r w:rsidR="006A5A76">
        <w:rPr>
          <w:rFonts w:ascii="Calibri" w:eastAsia="Calibri" w:hAnsi="Calibri" w:cs="Arial"/>
          <w:color w:val="000000"/>
          <w:sz w:val="24"/>
          <w:szCs w:val="24"/>
          <w:lang w:val="en-US"/>
        </w:rPr>
        <w:t>ve</w:t>
      </w:r>
      <w:r w:rsidR="00034AE0" w:rsidRPr="00B93116">
        <w:rPr>
          <w:rFonts w:ascii="Calibri" w:eastAsia="Calibri" w:hAnsi="Calibri" w:cs="Arial"/>
          <w:color w:val="000000"/>
          <w:sz w:val="24"/>
          <w:szCs w:val="24"/>
          <w:lang w:val="en-US"/>
        </w:rPr>
        <w:t xml:space="preserve"> been recognized </w:t>
      </w:r>
      <w:r w:rsidR="00034AE0">
        <w:rPr>
          <w:rFonts w:ascii="Calibri" w:eastAsia="Calibri" w:hAnsi="Calibri" w:cs="Arial"/>
          <w:color w:val="000000"/>
          <w:sz w:val="24"/>
          <w:szCs w:val="24"/>
          <w:lang w:val="en-US"/>
        </w:rPr>
        <w:t>elsewhere</w:t>
      </w:r>
      <w:r w:rsidR="00034AE0" w:rsidRPr="00B93116">
        <w:rPr>
          <w:rFonts w:ascii="Calibri" w:eastAsia="Calibri" w:hAnsi="Calibri" w:cs="Arial"/>
          <w:color w:val="000000"/>
          <w:sz w:val="24"/>
          <w:szCs w:val="24"/>
          <w:lang w:val="en-US"/>
        </w:rPr>
        <w:t xml:space="preserve"> </w:t>
      </w:r>
      <w:r w:rsidR="00034AE0">
        <w:rPr>
          <w:rFonts w:ascii="Calibri" w:eastAsia="Calibri" w:hAnsi="Calibri" w:cs="Arial"/>
          <w:color w:val="000000"/>
          <w:sz w:val="24"/>
          <w:szCs w:val="24"/>
          <w:lang w:val="en-US"/>
        </w:rPr>
        <w:t xml:space="preserve">including </w:t>
      </w:r>
      <w:r w:rsidR="00034AE0" w:rsidRPr="00B93116">
        <w:rPr>
          <w:rFonts w:ascii="Calibri" w:eastAsia="Calibri" w:hAnsi="Calibri" w:cs="Arial"/>
          <w:color w:val="000000"/>
          <w:sz w:val="24"/>
          <w:szCs w:val="24"/>
          <w:lang w:val="en-US"/>
        </w:rPr>
        <w:t>in Australia,</w:t>
      </w:r>
      <w:r w:rsidR="00034AE0" w:rsidRPr="00B93116">
        <w:rPr>
          <w:rStyle w:val="FootnoteReference"/>
          <w:rFonts w:ascii="Calibri" w:eastAsia="Calibri" w:hAnsi="Calibri" w:cs="Arial"/>
          <w:color w:val="000000"/>
          <w:sz w:val="24"/>
          <w:szCs w:val="24"/>
          <w:lang w:val="en-US"/>
        </w:rPr>
        <w:footnoteReference w:id="36"/>
      </w:r>
      <w:r w:rsidR="00034AE0" w:rsidRPr="00B93116">
        <w:rPr>
          <w:rFonts w:ascii="Calibri" w:eastAsia="Calibri" w:hAnsi="Calibri" w:cs="Arial"/>
          <w:color w:val="000000"/>
          <w:sz w:val="24"/>
          <w:szCs w:val="24"/>
          <w:lang w:val="en-US"/>
        </w:rPr>
        <w:t xml:space="preserve"> </w:t>
      </w:r>
      <w:r w:rsidR="00034AE0" w:rsidRPr="00253DD1">
        <w:rPr>
          <w:rFonts w:ascii="Calibri" w:eastAsia="Calibri" w:hAnsi="Calibri" w:cs="Arial"/>
          <w:color w:val="000000"/>
          <w:sz w:val="24"/>
          <w:szCs w:val="24"/>
          <w:lang w:val="en-US"/>
        </w:rPr>
        <w:t>Canada,</w:t>
      </w:r>
      <w:r w:rsidR="00034AE0" w:rsidRPr="00253DD1">
        <w:rPr>
          <w:rStyle w:val="FootnoteReference"/>
          <w:rFonts w:ascii="Calibri" w:eastAsia="Calibri" w:hAnsi="Calibri" w:cs="Arial"/>
          <w:color w:val="000000"/>
          <w:sz w:val="24"/>
          <w:szCs w:val="24"/>
          <w:lang w:val="en-US"/>
        </w:rPr>
        <w:footnoteReference w:id="37"/>
      </w:r>
      <w:r w:rsidR="00034AE0" w:rsidRPr="00253DD1">
        <w:rPr>
          <w:rFonts w:ascii="Calibri" w:eastAsia="Calibri" w:hAnsi="Calibri" w:cs="Arial"/>
          <w:color w:val="000000"/>
          <w:sz w:val="24"/>
          <w:szCs w:val="24"/>
          <w:lang w:val="en-US"/>
        </w:rPr>
        <w:t xml:space="preserve"> Malaysia,</w:t>
      </w:r>
      <w:r w:rsidR="00034AE0" w:rsidRPr="00253DD1">
        <w:rPr>
          <w:rStyle w:val="FootnoteReference"/>
          <w:rFonts w:ascii="Calibri" w:eastAsia="Calibri" w:hAnsi="Calibri" w:cs="Arial"/>
          <w:color w:val="000000"/>
          <w:sz w:val="24"/>
          <w:szCs w:val="24"/>
          <w:lang w:val="en-US"/>
        </w:rPr>
        <w:footnoteReference w:id="38"/>
      </w:r>
      <w:r w:rsidR="00034AE0" w:rsidRPr="00253DD1">
        <w:rPr>
          <w:rFonts w:ascii="Calibri" w:eastAsia="Calibri" w:hAnsi="Calibri" w:cs="Arial"/>
          <w:color w:val="000000"/>
          <w:sz w:val="24"/>
          <w:szCs w:val="24"/>
          <w:lang w:val="en-US"/>
        </w:rPr>
        <w:t xml:space="preserve"> New Zealand,</w:t>
      </w:r>
      <w:r w:rsidR="00034AE0" w:rsidRPr="00253DD1">
        <w:rPr>
          <w:rStyle w:val="FootnoteReference"/>
          <w:rFonts w:ascii="Calibri" w:eastAsia="Calibri" w:hAnsi="Calibri" w:cs="Arial"/>
          <w:color w:val="000000"/>
          <w:sz w:val="24"/>
          <w:szCs w:val="24"/>
          <w:lang w:val="en-US"/>
        </w:rPr>
        <w:footnoteReference w:id="39"/>
      </w:r>
      <w:r w:rsidR="00034AE0" w:rsidRPr="00253DD1">
        <w:rPr>
          <w:rFonts w:ascii="Calibri" w:eastAsia="Calibri" w:hAnsi="Calibri" w:cs="Arial"/>
          <w:color w:val="000000"/>
          <w:sz w:val="24"/>
          <w:szCs w:val="24"/>
          <w:lang w:val="en-US"/>
        </w:rPr>
        <w:t xml:space="preserve"> and</w:t>
      </w:r>
      <w:r w:rsidR="00034AE0">
        <w:rPr>
          <w:rFonts w:ascii="Calibri" w:eastAsia="Calibri" w:hAnsi="Calibri" w:cs="Arial"/>
          <w:color w:val="000000"/>
          <w:sz w:val="24"/>
          <w:szCs w:val="24"/>
          <w:lang w:val="en-US"/>
        </w:rPr>
        <w:t xml:space="preserve"> </w:t>
      </w:r>
      <w:r w:rsidR="00034AE0" w:rsidRPr="00B93116">
        <w:rPr>
          <w:rFonts w:ascii="Calibri" w:eastAsia="Calibri" w:hAnsi="Calibri" w:cs="Arial"/>
          <w:color w:val="000000"/>
          <w:sz w:val="24"/>
          <w:szCs w:val="24"/>
          <w:lang w:val="en-US"/>
        </w:rPr>
        <w:t>Singapore</w:t>
      </w:r>
      <w:r w:rsidR="00034AE0">
        <w:rPr>
          <w:rFonts w:ascii="Calibri" w:eastAsia="Calibri" w:hAnsi="Calibri" w:cs="Arial"/>
          <w:color w:val="000000"/>
          <w:sz w:val="24"/>
          <w:szCs w:val="24"/>
          <w:lang w:val="en-US"/>
        </w:rPr>
        <w:t>.</w:t>
      </w:r>
      <w:r w:rsidR="00034AE0" w:rsidRPr="00B93116">
        <w:rPr>
          <w:rStyle w:val="FootnoteReference"/>
          <w:rFonts w:ascii="Calibri" w:eastAsia="Calibri" w:hAnsi="Calibri" w:cs="Arial"/>
          <w:color w:val="000000"/>
          <w:sz w:val="24"/>
          <w:szCs w:val="24"/>
          <w:lang w:val="en-US"/>
        </w:rPr>
        <w:footnoteReference w:id="40"/>
      </w:r>
    </w:p>
    <w:p w14:paraId="787ABC40" w14:textId="20B43FC4" w:rsidR="00093533" w:rsidRDefault="00093533" w:rsidP="00093533">
      <w:pPr>
        <w:rPr>
          <w:rFonts w:ascii="Calibri" w:eastAsia="Calibri" w:hAnsi="Calibri" w:cs="Arial"/>
          <w:color w:val="000000"/>
          <w:sz w:val="24"/>
          <w:szCs w:val="24"/>
          <w:lang w:val="en-US"/>
        </w:rPr>
      </w:pPr>
      <w:r w:rsidRPr="00D817A3">
        <w:rPr>
          <w:rFonts w:ascii="Calibri" w:eastAsia="Calibri" w:hAnsi="Calibri" w:cs="Arial"/>
          <w:color w:val="000000"/>
          <w:sz w:val="24"/>
          <w:szCs w:val="24"/>
          <w:lang w:val="en-US"/>
        </w:rPr>
        <w:t xml:space="preserve">Although </w:t>
      </w:r>
      <w:r w:rsidR="00AF01B9">
        <w:rPr>
          <w:rFonts w:ascii="Calibri" w:eastAsia="Calibri" w:hAnsi="Calibri" w:cs="Arial"/>
          <w:color w:val="000000"/>
          <w:sz w:val="24"/>
          <w:szCs w:val="24"/>
          <w:lang w:val="en-US"/>
        </w:rPr>
        <w:t xml:space="preserve">firmly </w:t>
      </w:r>
      <w:r w:rsidRPr="00D817A3">
        <w:rPr>
          <w:rFonts w:ascii="Calibri" w:eastAsia="Calibri" w:hAnsi="Calibri" w:cs="Arial"/>
          <w:color w:val="000000"/>
          <w:sz w:val="24"/>
          <w:szCs w:val="24"/>
          <w:lang w:val="en-US"/>
        </w:rPr>
        <w:t>established</w:t>
      </w:r>
      <w:r>
        <w:rPr>
          <w:rFonts w:ascii="Calibri" w:eastAsia="Calibri" w:hAnsi="Calibri" w:cs="Arial"/>
          <w:color w:val="000000"/>
          <w:sz w:val="24"/>
          <w:szCs w:val="24"/>
          <w:lang w:val="en-US"/>
        </w:rPr>
        <w:t xml:space="preserve"> in principle</w:t>
      </w:r>
      <w:r w:rsidRPr="00D817A3">
        <w:rPr>
          <w:rFonts w:ascii="Calibri" w:eastAsia="Calibri" w:hAnsi="Calibri" w:cs="Arial"/>
          <w:color w:val="000000"/>
          <w:sz w:val="24"/>
          <w:szCs w:val="24"/>
          <w:lang w:val="en-US"/>
        </w:rPr>
        <w:t xml:space="preserve">, the </w:t>
      </w:r>
      <w:r w:rsidR="00253DD1">
        <w:rPr>
          <w:rFonts w:ascii="Calibri" w:eastAsia="Calibri" w:hAnsi="Calibri" w:cs="Arial"/>
          <w:i/>
          <w:iCs/>
          <w:color w:val="000000"/>
          <w:sz w:val="24"/>
          <w:szCs w:val="24"/>
          <w:lang w:val="en-US"/>
        </w:rPr>
        <w:t xml:space="preserve">Quincecare </w:t>
      </w:r>
      <w:r w:rsidRPr="00D817A3">
        <w:rPr>
          <w:rFonts w:ascii="Calibri" w:eastAsia="Calibri" w:hAnsi="Calibri" w:cs="Arial"/>
          <w:color w:val="000000"/>
          <w:sz w:val="24"/>
          <w:szCs w:val="24"/>
          <w:lang w:val="en-US"/>
        </w:rPr>
        <w:t>duty</w:t>
      </w:r>
      <w:r w:rsidR="00253DD1">
        <w:rPr>
          <w:rFonts w:ascii="Calibri" w:eastAsia="Calibri" w:hAnsi="Calibri" w:cs="Arial"/>
          <w:color w:val="000000"/>
          <w:sz w:val="24"/>
          <w:szCs w:val="24"/>
          <w:lang w:val="en-US"/>
        </w:rPr>
        <w:t xml:space="preserve"> </w:t>
      </w:r>
      <w:r w:rsidRPr="00D817A3">
        <w:rPr>
          <w:rFonts w:ascii="Calibri" w:eastAsia="Calibri" w:hAnsi="Calibri" w:cs="Arial"/>
          <w:color w:val="000000"/>
          <w:sz w:val="24"/>
          <w:szCs w:val="24"/>
          <w:lang w:val="en-US"/>
        </w:rPr>
        <w:t>has troubled the courts</w:t>
      </w:r>
      <w:r w:rsidR="00E21741">
        <w:rPr>
          <w:rFonts w:ascii="Calibri" w:eastAsia="Calibri" w:hAnsi="Calibri" w:cs="Arial"/>
          <w:color w:val="000000"/>
          <w:sz w:val="24"/>
          <w:szCs w:val="24"/>
          <w:lang w:val="en-US"/>
        </w:rPr>
        <w:t xml:space="preserve"> and scholars</w:t>
      </w:r>
      <w:r w:rsidRPr="00093533">
        <w:rPr>
          <w:rFonts w:ascii="Calibri" w:eastAsia="Calibri" w:hAnsi="Calibri" w:cs="Arial"/>
          <w:color w:val="000000"/>
          <w:sz w:val="24"/>
          <w:szCs w:val="24"/>
          <w:lang w:val="en-US"/>
        </w:rPr>
        <w:t>.</w:t>
      </w:r>
      <w:r w:rsidR="00AC3A94">
        <w:rPr>
          <w:rStyle w:val="FootnoteReference"/>
          <w:rFonts w:ascii="Calibri" w:eastAsia="Calibri" w:hAnsi="Calibri" w:cs="Arial"/>
          <w:color w:val="000000"/>
          <w:sz w:val="24"/>
          <w:szCs w:val="24"/>
          <w:lang w:val="en-US"/>
        </w:rPr>
        <w:footnoteReference w:id="41"/>
      </w:r>
      <w:r w:rsidRPr="00D817A3">
        <w:rPr>
          <w:rFonts w:ascii="Calibri" w:eastAsia="Calibri" w:hAnsi="Calibri" w:cs="Arial"/>
          <w:color w:val="000000"/>
          <w:sz w:val="24"/>
          <w:szCs w:val="24"/>
          <w:lang w:val="en-US"/>
        </w:rPr>
        <w:t xml:space="preserve"> The </w:t>
      </w:r>
      <w:r w:rsidR="006A5A76">
        <w:rPr>
          <w:rFonts w:ascii="Calibri" w:eastAsia="Calibri" w:hAnsi="Calibri" w:cs="Arial"/>
          <w:color w:val="000000"/>
          <w:sz w:val="24"/>
          <w:szCs w:val="24"/>
          <w:lang w:val="en-US"/>
        </w:rPr>
        <w:t xml:space="preserve">main </w:t>
      </w:r>
      <w:r w:rsidRPr="00D817A3">
        <w:rPr>
          <w:rFonts w:ascii="Calibri" w:eastAsia="Calibri" w:hAnsi="Calibri" w:cs="Arial"/>
          <w:color w:val="000000"/>
          <w:sz w:val="24"/>
          <w:szCs w:val="24"/>
          <w:lang w:val="en-US"/>
        </w:rPr>
        <w:t xml:space="preserve">difficulty </w:t>
      </w:r>
      <w:r w:rsidR="006A5A76">
        <w:rPr>
          <w:rFonts w:ascii="Calibri" w:eastAsia="Calibri" w:hAnsi="Calibri" w:cs="Arial"/>
          <w:color w:val="000000"/>
          <w:sz w:val="24"/>
          <w:szCs w:val="24"/>
          <w:lang w:val="en-US"/>
        </w:rPr>
        <w:t xml:space="preserve">is that </w:t>
      </w:r>
      <w:r w:rsidRPr="00D817A3">
        <w:rPr>
          <w:rFonts w:ascii="Calibri" w:eastAsia="Calibri" w:hAnsi="Calibri" w:cs="Arial"/>
          <w:color w:val="000000"/>
          <w:sz w:val="24"/>
          <w:szCs w:val="24"/>
          <w:lang w:val="en-US"/>
        </w:rPr>
        <w:t>payment instructions</w:t>
      </w:r>
      <w:r>
        <w:rPr>
          <w:rFonts w:ascii="Calibri" w:eastAsia="Calibri" w:hAnsi="Calibri" w:cs="Arial"/>
          <w:color w:val="000000"/>
          <w:sz w:val="24"/>
          <w:szCs w:val="24"/>
          <w:lang w:val="en-US"/>
        </w:rPr>
        <w:t xml:space="preserve"> </w:t>
      </w:r>
      <w:r w:rsidR="000570B4">
        <w:rPr>
          <w:rFonts w:ascii="Calibri" w:eastAsia="Calibri" w:hAnsi="Calibri" w:cs="Arial"/>
          <w:color w:val="000000"/>
          <w:sz w:val="24"/>
          <w:szCs w:val="24"/>
          <w:lang w:val="en-US"/>
        </w:rPr>
        <w:t xml:space="preserve">from a customer </w:t>
      </w:r>
      <w:r>
        <w:rPr>
          <w:rFonts w:ascii="Calibri" w:eastAsia="Calibri" w:hAnsi="Calibri" w:cs="Arial"/>
          <w:color w:val="000000"/>
          <w:sz w:val="24"/>
          <w:szCs w:val="24"/>
          <w:lang w:val="en-US"/>
        </w:rPr>
        <w:t>are ‘sacrosanct’, and must be executed</w:t>
      </w:r>
      <w:r w:rsidRPr="00D817A3">
        <w:rPr>
          <w:rFonts w:ascii="Calibri" w:eastAsia="Calibri" w:hAnsi="Calibri" w:cs="Arial"/>
          <w:color w:val="000000"/>
          <w:sz w:val="24"/>
          <w:szCs w:val="24"/>
          <w:lang w:val="en-US"/>
        </w:rPr>
        <w:t xml:space="preserve"> promptly</w:t>
      </w:r>
      <w:r w:rsidR="00AF01B9">
        <w:rPr>
          <w:rFonts w:ascii="Calibri" w:eastAsia="Calibri" w:hAnsi="Calibri" w:cs="Arial"/>
          <w:color w:val="000000"/>
          <w:sz w:val="24"/>
          <w:szCs w:val="24"/>
          <w:lang w:val="en-US"/>
        </w:rPr>
        <w:t>, without question.</w:t>
      </w:r>
      <w:r>
        <w:rPr>
          <w:rStyle w:val="FootnoteReference"/>
          <w:rFonts w:ascii="Calibri" w:eastAsia="Calibri" w:hAnsi="Calibri" w:cs="Arial"/>
          <w:color w:val="000000"/>
          <w:sz w:val="24"/>
          <w:szCs w:val="24"/>
          <w:lang w:val="en-US"/>
        </w:rPr>
        <w:footnoteReference w:id="42"/>
      </w:r>
      <w:r w:rsidRPr="00D817A3">
        <w:rPr>
          <w:rFonts w:ascii="Calibri" w:eastAsia="Calibri" w:hAnsi="Calibri" w:cs="Arial"/>
          <w:color w:val="000000"/>
          <w:sz w:val="24"/>
          <w:szCs w:val="24"/>
          <w:lang w:val="en-US"/>
        </w:rPr>
        <w:t xml:space="preserve"> </w:t>
      </w:r>
      <w:r w:rsidR="00AF01B9">
        <w:rPr>
          <w:rFonts w:ascii="Calibri" w:eastAsia="Calibri" w:hAnsi="Calibri" w:cs="Arial"/>
          <w:color w:val="000000"/>
          <w:sz w:val="24"/>
          <w:szCs w:val="24"/>
          <w:lang w:val="en-US"/>
        </w:rPr>
        <w:t xml:space="preserve">Such efficiency is important from the perspectives of both bank and the customer. </w:t>
      </w:r>
      <w:r w:rsidR="00253DD1">
        <w:rPr>
          <w:rFonts w:ascii="Calibri" w:eastAsia="Calibri" w:hAnsi="Calibri" w:cs="Arial"/>
          <w:color w:val="000000"/>
          <w:sz w:val="24"/>
          <w:szCs w:val="24"/>
          <w:lang w:val="en-US"/>
        </w:rPr>
        <w:t xml:space="preserve">Banks </w:t>
      </w:r>
      <w:r w:rsidR="00082E75">
        <w:rPr>
          <w:rFonts w:ascii="Calibri" w:eastAsia="Calibri" w:hAnsi="Calibri" w:cs="Arial"/>
          <w:color w:val="000000"/>
          <w:sz w:val="24"/>
          <w:szCs w:val="24"/>
          <w:lang w:val="en-US"/>
        </w:rPr>
        <w:t>process</w:t>
      </w:r>
      <w:r w:rsidR="00253DD1">
        <w:rPr>
          <w:rFonts w:ascii="Calibri" w:eastAsia="Calibri" w:hAnsi="Calibri" w:cs="Arial"/>
          <w:color w:val="000000"/>
          <w:sz w:val="24"/>
          <w:szCs w:val="24"/>
          <w:lang w:val="en-US"/>
        </w:rPr>
        <w:t xml:space="preserve"> large volumes of payments every day</w:t>
      </w:r>
      <w:r w:rsidR="00AF01B9">
        <w:rPr>
          <w:rFonts w:ascii="Calibri" w:eastAsia="Calibri" w:hAnsi="Calibri" w:cs="Arial"/>
          <w:color w:val="000000"/>
          <w:sz w:val="24"/>
          <w:szCs w:val="24"/>
          <w:lang w:val="en-US"/>
        </w:rPr>
        <w:t>;</w:t>
      </w:r>
      <w:r w:rsidR="00253DD1">
        <w:rPr>
          <w:rFonts w:ascii="Calibri" w:eastAsia="Calibri" w:hAnsi="Calibri" w:cs="Arial"/>
          <w:color w:val="000000"/>
          <w:sz w:val="24"/>
          <w:szCs w:val="24"/>
          <w:lang w:val="en-US"/>
        </w:rPr>
        <w:t xml:space="preserve"> it is</w:t>
      </w:r>
      <w:r w:rsidR="00082E75">
        <w:rPr>
          <w:rFonts w:ascii="Calibri" w:eastAsia="Calibri" w:hAnsi="Calibri" w:cs="Arial"/>
          <w:color w:val="000000"/>
          <w:sz w:val="24"/>
          <w:szCs w:val="24"/>
          <w:lang w:val="en-US"/>
        </w:rPr>
        <w:t xml:space="preserve"> not</w:t>
      </w:r>
      <w:r w:rsidR="00253DD1">
        <w:rPr>
          <w:rFonts w:ascii="Calibri" w:eastAsia="Calibri" w:hAnsi="Calibri" w:cs="Arial"/>
          <w:color w:val="000000"/>
          <w:sz w:val="24"/>
          <w:szCs w:val="24"/>
          <w:lang w:val="en-US"/>
        </w:rPr>
        <w:t xml:space="preserve"> their role to evaluate the purpose or wisdom of any particular transaction</w:t>
      </w:r>
      <w:r w:rsidR="00082E75">
        <w:rPr>
          <w:rFonts w:ascii="Calibri" w:eastAsia="Calibri" w:hAnsi="Calibri" w:cs="Arial"/>
          <w:color w:val="000000"/>
          <w:sz w:val="24"/>
          <w:szCs w:val="24"/>
          <w:lang w:val="en-US"/>
        </w:rPr>
        <w:t>. C</w:t>
      </w:r>
      <w:r w:rsidRPr="00D817A3">
        <w:rPr>
          <w:rFonts w:ascii="Calibri" w:eastAsia="Calibri" w:hAnsi="Calibri" w:cs="Arial"/>
          <w:color w:val="000000"/>
          <w:sz w:val="24"/>
          <w:szCs w:val="24"/>
          <w:lang w:val="en-US"/>
        </w:rPr>
        <w:t xml:space="preserve">ustomers </w:t>
      </w:r>
      <w:r w:rsidR="002D138A">
        <w:rPr>
          <w:rFonts w:ascii="Calibri" w:eastAsia="Calibri" w:hAnsi="Calibri" w:cs="Arial"/>
          <w:color w:val="000000"/>
          <w:sz w:val="24"/>
          <w:szCs w:val="24"/>
          <w:lang w:val="en-US"/>
        </w:rPr>
        <w:t>c</w:t>
      </w:r>
      <w:r w:rsidRPr="00D817A3">
        <w:rPr>
          <w:rFonts w:ascii="Calibri" w:eastAsia="Calibri" w:hAnsi="Calibri" w:cs="Arial"/>
          <w:color w:val="000000"/>
          <w:sz w:val="24"/>
          <w:szCs w:val="24"/>
          <w:lang w:val="en-US"/>
        </w:rPr>
        <w:t xml:space="preserve">ould be inconvenienced or </w:t>
      </w:r>
      <w:r>
        <w:rPr>
          <w:rFonts w:ascii="Calibri" w:eastAsia="Calibri" w:hAnsi="Calibri" w:cs="Arial"/>
          <w:color w:val="000000"/>
          <w:sz w:val="24"/>
          <w:szCs w:val="24"/>
          <w:lang w:val="en-US"/>
        </w:rPr>
        <w:t xml:space="preserve">even </w:t>
      </w:r>
      <w:r w:rsidRPr="00D817A3">
        <w:rPr>
          <w:rFonts w:ascii="Calibri" w:eastAsia="Calibri" w:hAnsi="Calibri" w:cs="Arial"/>
          <w:color w:val="000000"/>
          <w:sz w:val="24"/>
          <w:szCs w:val="24"/>
          <w:lang w:val="en-US"/>
        </w:rPr>
        <w:t xml:space="preserve">more seriously compromised should banks start ‘second guessing’ </w:t>
      </w:r>
      <w:r w:rsidR="00DC3DEB">
        <w:rPr>
          <w:rFonts w:ascii="Calibri" w:eastAsia="Calibri" w:hAnsi="Calibri" w:cs="Arial"/>
          <w:color w:val="000000"/>
          <w:sz w:val="24"/>
          <w:szCs w:val="24"/>
          <w:lang w:val="en-US"/>
        </w:rPr>
        <w:t xml:space="preserve">their </w:t>
      </w:r>
      <w:r w:rsidRPr="00D817A3">
        <w:rPr>
          <w:rFonts w:ascii="Calibri" w:eastAsia="Calibri" w:hAnsi="Calibri" w:cs="Arial"/>
          <w:color w:val="000000"/>
          <w:sz w:val="24"/>
          <w:szCs w:val="24"/>
          <w:lang w:val="en-US"/>
        </w:rPr>
        <w:t>instructions</w:t>
      </w:r>
      <w:r w:rsidR="00DC3DEB">
        <w:rPr>
          <w:rFonts w:ascii="Calibri" w:eastAsia="Calibri" w:hAnsi="Calibri" w:cs="Arial"/>
          <w:color w:val="000000"/>
          <w:sz w:val="24"/>
          <w:szCs w:val="24"/>
          <w:lang w:val="en-US"/>
        </w:rPr>
        <w:t>.</w:t>
      </w:r>
      <w:r>
        <w:rPr>
          <w:rStyle w:val="FootnoteReference"/>
          <w:rFonts w:ascii="Calibri" w:eastAsia="Calibri" w:hAnsi="Calibri" w:cs="Arial"/>
          <w:color w:val="000000"/>
          <w:sz w:val="24"/>
          <w:szCs w:val="24"/>
          <w:lang w:val="en-US"/>
        </w:rPr>
        <w:footnoteReference w:id="43"/>
      </w:r>
      <w:r w:rsidRPr="00D817A3">
        <w:rPr>
          <w:rFonts w:ascii="Calibri" w:eastAsia="Calibri" w:hAnsi="Calibri" w:cs="Arial"/>
          <w:color w:val="000000"/>
          <w:sz w:val="24"/>
          <w:szCs w:val="24"/>
          <w:lang w:val="en-US"/>
        </w:rPr>
        <w:t xml:space="preserve"> </w:t>
      </w:r>
      <w:r w:rsidR="00082E75">
        <w:rPr>
          <w:rFonts w:ascii="Calibri" w:eastAsia="Calibri" w:hAnsi="Calibri" w:cs="Arial"/>
          <w:color w:val="000000"/>
          <w:sz w:val="24"/>
          <w:szCs w:val="24"/>
          <w:lang w:val="en-US"/>
        </w:rPr>
        <w:t>At the same time,</w:t>
      </w:r>
      <w:r w:rsidR="00A47CBC">
        <w:rPr>
          <w:rFonts w:ascii="Calibri" w:eastAsia="Calibri" w:hAnsi="Calibri" w:cs="Arial"/>
          <w:color w:val="000000"/>
          <w:sz w:val="24"/>
          <w:szCs w:val="24"/>
          <w:lang w:val="en-US"/>
        </w:rPr>
        <w:t xml:space="preserve"> </w:t>
      </w:r>
      <w:r w:rsidR="006A5A76">
        <w:rPr>
          <w:rFonts w:ascii="Calibri" w:eastAsia="Calibri" w:hAnsi="Calibri" w:cs="Arial"/>
          <w:color w:val="000000"/>
          <w:sz w:val="24"/>
          <w:szCs w:val="24"/>
          <w:lang w:val="en-US"/>
        </w:rPr>
        <w:t xml:space="preserve">courts </w:t>
      </w:r>
      <w:r w:rsidR="00082E75">
        <w:rPr>
          <w:rFonts w:ascii="Calibri" w:eastAsia="Calibri" w:hAnsi="Calibri" w:cs="Arial"/>
          <w:color w:val="000000"/>
          <w:sz w:val="24"/>
          <w:szCs w:val="24"/>
          <w:lang w:val="en-US"/>
        </w:rPr>
        <w:t xml:space="preserve">have </w:t>
      </w:r>
      <w:r w:rsidR="00DC3DEB">
        <w:rPr>
          <w:rFonts w:ascii="Calibri" w:eastAsia="Calibri" w:hAnsi="Calibri" w:cs="Arial"/>
          <w:color w:val="000000"/>
          <w:sz w:val="24"/>
          <w:szCs w:val="24"/>
          <w:lang w:val="en-US"/>
        </w:rPr>
        <w:t>consider</w:t>
      </w:r>
      <w:r w:rsidR="00082E75">
        <w:rPr>
          <w:rFonts w:ascii="Calibri" w:eastAsia="Calibri" w:hAnsi="Calibri" w:cs="Arial"/>
          <w:color w:val="000000"/>
          <w:sz w:val="24"/>
          <w:szCs w:val="24"/>
          <w:lang w:val="en-US"/>
        </w:rPr>
        <w:t xml:space="preserve">ed it appropriate for </w:t>
      </w:r>
      <w:r w:rsidRPr="00D817A3">
        <w:rPr>
          <w:rFonts w:ascii="Calibri" w:eastAsia="Calibri" w:hAnsi="Calibri" w:cs="Arial"/>
          <w:color w:val="000000"/>
          <w:sz w:val="24"/>
          <w:szCs w:val="24"/>
          <w:lang w:val="en-US"/>
        </w:rPr>
        <w:t xml:space="preserve">banks </w:t>
      </w:r>
      <w:r w:rsidR="00082E75">
        <w:rPr>
          <w:rFonts w:ascii="Calibri" w:eastAsia="Calibri" w:hAnsi="Calibri" w:cs="Arial"/>
          <w:color w:val="000000"/>
          <w:sz w:val="24"/>
          <w:szCs w:val="24"/>
          <w:lang w:val="en-US"/>
        </w:rPr>
        <w:t xml:space="preserve">to </w:t>
      </w:r>
      <w:r w:rsidRPr="00D817A3">
        <w:rPr>
          <w:rFonts w:ascii="Calibri" w:eastAsia="Calibri" w:hAnsi="Calibri" w:cs="Arial"/>
          <w:color w:val="000000"/>
          <w:sz w:val="24"/>
          <w:szCs w:val="24"/>
          <w:lang w:val="en-US"/>
        </w:rPr>
        <w:t xml:space="preserve">decline to </w:t>
      </w:r>
      <w:r w:rsidR="000570B4">
        <w:rPr>
          <w:rFonts w:ascii="Calibri" w:eastAsia="Calibri" w:hAnsi="Calibri" w:cs="Arial"/>
          <w:color w:val="000000"/>
          <w:sz w:val="24"/>
          <w:szCs w:val="24"/>
          <w:lang w:val="en-US"/>
        </w:rPr>
        <w:t xml:space="preserve">pay </w:t>
      </w:r>
      <w:r w:rsidR="00AF01B9">
        <w:rPr>
          <w:rFonts w:ascii="Calibri" w:eastAsia="Calibri" w:hAnsi="Calibri" w:cs="Arial"/>
          <w:color w:val="000000"/>
          <w:sz w:val="24"/>
          <w:szCs w:val="24"/>
          <w:lang w:val="en-US"/>
        </w:rPr>
        <w:t>if</w:t>
      </w:r>
      <w:r w:rsidR="00082E75">
        <w:rPr>
          <w:rFonts w:ascii="Calibri" w:eastAsia="Calibri" w:hAnsi="Calibri" w:cs="Arial"/>
          <w:color w:val="000000"/>
          <w:sz w:val="24"/>
          <w:szCs w:val="24"/>
          <w:lang w:val="en-US"/>
        </w:rPr>
        <w:t xml:space="preserve"> </w:t>
      </w:r>
      <w:r w:rsidRPr="00D817A3">
        <w:rPr>
          <w:rFonts w:ascii="Calibri" w:eastAsia="Calibri" w:hAnsi="Calibri" w:cs="Arial"/>
          <w:color w:val="000000"/>
          <w:sz w:val="24"/>
          <w:szCs w:val="24"/>
          <w:lang w:val="en-US"/>
        </w:rPr>
        <w:t xml:space="preserve">they </w:t>
      </w:r>
      <w:r w:rsidR="00307942">
        <w:rPr>
          <w:rFonts w:ascii="Calibri" w:eastAsia="Calibri" w:hAnsi="Calibri" w:cs="Arial"/>
          <w:color w:val="000000"/>
          <w:sz w:val="24"/>
          <w:szCs w:val="24"/>
          <w:lang w:val="en-US"/>
        </w:rPr>
        <w:t>suspect</w:t>
      </w:r>
      <w:r w:rsidRPr="00D817A3">
        <w:rPr>
          <w:rFonts w:ascii="Calibri" w:eastAsia="Calibri" w:hAnsi="Calibri" w:cs="Arial"/>
          <w:color w:val="000000"/>
          <w:sz w:val="24"/>
          <w:szCs w:val="24"/>
          <w:lang w:val="en-US"/>
        </w:rPr>
        <w:t xml:space="preserve"> (or should reasonably </w:t>
      </w:r>
      <w:r w:rsidR="00307942">
        <w:rPr>
          <w:rFonts w:ascii="Calibri" w:eastAsia="Calibri" w:hAnsi="Calibri" w:cs="Arial"/>
          <w:color w:val="000000"/>
          <w:sz w:val="24"/>
          <w:szCs w:val="24"/>
          <w:lang w:val="en-US"/>
        </w:rPr>
        <w:t>suspect</w:t>
      </w:r>
      <w:r w:rsidRPr="00D817A3">
        <w:rPr>
          <w:rFonts w:ascii="Calibri" w:eastAsia="Calibri" w:hAnsi="Calibri" w:cs="Arial"/>
          <w:color w:val="000000"/>
          <w:sz w:val="24"/>
          <w:szCs w:val="24"/>
          <w:lang w:val="en-US"/>
        </w:rPr>
        <w:t xml:space="preserve">) that </w:t>
      </w:r>
      <w:r w:rsidR="003C7471">
        <w:rPr>
          <w:rFonts w:ascii="Calibri" w:eastAsia="Calibri" w:hAnsi="Calibri" w:cs="Arial"/>
          <w:color w:val="000000"/>
          <w:sz w:val="24"/>
          <w:szCs w:val="24"/>
          <w:lang w:val="en-US"/>
        </w:rPr>
        <w:t>an apparently binding instruction may not reflect a customer’s ‘</w:t>
      </w:r>
      <w:r w:rsidR="003C7471" w:rsidRPr="00C17BFB">
        <w:rPr>
          <w:rFonts w:ascii="Calibri" w:eastAsia="Calibri" w:hAnsi="Calibri" w:cs="Arial"/>
          <w:color w:val="000000"/>
          <w:sz w:val="24"/>
          <w:szCs w:val="24"/>
          <w:lang w:val="en-US"/>
        </w:rPr>
        <w:t>really intended instructions’</w:t>
      </w:r>
      <w:r w:rsidR="00082E75">
        <w:rPr>
          <w:rFonts w:ascii="Calibri" w:eastAsia="Calibri" w:hAnsi="Calibri" w:cs="Arial"/>
          <w:color w:val="000000"/>
          <w:sz w:val="24"/>
          <w:szCs w:val="24"/>
          <w:lang w:val="en-US"/>
        </w:rPr>
        <w:t>,</w:t>
      </w:r>
      <w:r w:rsidR="003C7471">
        <w:rPr>
          <w:rStyle w:val="FootnoteReference"/>
          <w:rFonts w:ascii="Calibri" w:eastAsia="Calibri" w:hAnsi="Calibri" w:cs="Arial"/>
          <w:color w:val="000000"/>
          <w:sz w:val="24"/>
          <w:szCs w:val="24"/>
          <w:lang w:val="en-US"/>
        </w:rPr>
        <w:footnoteReference w:id="44"/>
      </w:r>
      <w:r w:rsidR="003C7471">
        <w:rPr>
          <w:rFonts w:ascii="Calibri" w:eastAsia="Calibri" w:hAnsi="Calibri" w:cs="Arial"/>
          <w:color w:val="000000"/>
          <w:sz w:val="24"/>
          <w:szCs w:val="24"/>
          <w:lang w:val="en-US"/>
        </w:rPr>
        <w:t xml:space="preserve"> </w:t>
      </w:r>
      <w:r w:rsidR="00B901C9">
        <w:rPr>
          <w:rFonts w:ascii="Calibri" w:eastAsia="Calibri" w:hAnsi="Calibri" w:cs="Arial"/>
          <w:color w:val="000000"/>
          <w:sz w:val="24"/>
          <w:szCs w:val="24"/>
          <w:lang w:val="en-US"/>
        </w:rPr>
        <w:t xml:space="preserve">for instance </w:t>
      </w:r>
      <w:r w:rsidR="00082E75">
        <w:rPr>
          <w:rFonts w:ascii="Calibri" w:eastAsia="Calibri" w:hAnsi="Calibri" w:cs="Arial"/>
          <w:color w:val="000000"/>
          <w:sz w:val="24"/>
          <w:szCs w:val="24"/>
          <w:lang w:val="en-US"/>
        </w:rPr>
        <w:t>when</w:t>
      </w:r>
      <w:r w:rsidR="003C7471">
        <w:rPr>
          <w:rFonts w:ascii="Calibri" w:eastAsia="Calibri" w:hAnsi="Calibri" w:cs="Arial"/>
          <w:color w:val="000000"/>
          <w:sz w:val="24"/>
          <w:szCs w:val="24"/>
          <w:lang w:val="en-US"/>
        </w:rPr>
        <w:t xml:space="preserve"> </w:t>
      </w:r>
      <w:r w:rsidRPr="00D817A3">
        <w:rPr>
          <w:rFonts w:ascii="Calibri" w:eastAsia="Calibri" w:hAnsi="Calibri" w:cs="Arial"/>
          <w:color w:val="000000"/>
          <w:sz w:val="24"/>
          <w:szCs w:val="24"/>
          <w:lang w:val="en-US"/>
        </w:rPr>
        <w:t>the customer</w:t>
      </w:r>
      <w:r>
        <w:rPr>
          <w:rFonts w:ascii="Calibri" w:eastAsia="Calibri" w:hAnsi="Calibri" w:cs="Arial"/>
          <w:color w:val="000000"/>
          <w:sz w:val="24"/>
          <w:szCs w:val="24"/>
          <w:lang w:val="en-US"/>
        </w:rPr>
        <w:t xml:space="preserve"> is a victim of a fraud </w:t>
      </w:r>
      <w:r w:rsidRPr="00D817A3">
        <w:rPr>
          <w:rFonts w:ascii="Calibri" w:eastAsia="Calibri" w:hAnsi="Calibri" w:cs="Arial"/>
          <w:color w:val="000000"/>
          <w:sz w:val="24"/>
          <w:szCs w:val="24"/>
          <w:lang w:val="en-US"/>
        </w:rPr>
        <w:t xml:space="preserve">or </w:t>
      </w:r>
      <w:r>
        <w:rPr>
          <w:rFonts w:ascii="Calibri" w:eastAsia="Calibri" w:hAnsi="Calibri" w:cs="Arial"/>
          <w:color w:val="000000"/>
          <w:sz w:val="24"/>
          <w:szCs w:val="24"/>
          <w:lang w:val="en-US"/>
        </w:rPr>
        <w:t xml:space="preserve">possibly </w:t>
      </w:r>
      <w:r w:rsidRPr="00D817A3">
        <w:rPr>
          <w:rFonts w:ascii="Calibri" w:eastAsia="Calibri" w:hAnsi="Calibri" w:cs="Arial"/>
          <w:color w:val="000000"/>
          <w:sz w:val="24"/>
          <w:szCs w:val="24"/>
          <w:lang w:val="en-US"/>
        </w:rPr>
        <w:t xml:space="preserve">other unacceptable conduct, such as duress. </w:t>
      </w:r>
      <w:r>
        <w:rPr>
          <w:rFonts w:ascii="Calibri" w:eastAsia="Calibri" w:hAnsi="Calibri" w:cs="Arial"/>
          <w:color w:val="000000"/>
          <w:sz w:val="24"/>
          <w:szCs w:val="24"/>
          <w:lang w:val="en-US"/>
        </w:rPr>
        <w:t xml:space="preserve"> </w:t>
      </w:r>
      <w:r w:rsidRPr="00D817A3">
        <w:rPr>
          <w:rFonts w:ascii="Calibri" w:eastAsia="Calibri" w:hAnsi="Calibri" w:cs="Arial"/>
          <w:color w:val="000000"/>
          <w:sz w:val="24"/>
          <w:szCs w:val="24"/>
          <w:lang w:val="en-US"/>
        </w:rPr>
        <w:t>The</w:t>
      </w:r>
      <w:r w:rsidR="003C7471">
        <w:rPr>
          <w:rFonts w:ascii="Calibri" w:eastAsia="Calibri" w:hAnsi="Calibri" w:cs="Arial"/>
          <w:color w:val="000000"/>
          <w:sz w:val="24"/>
          <w:szCs w:val="24"/>
          <w:lang w:val="en-US"/>
        </w:rPr>
        <w:t xml:space="preserve"> </w:t>
      </w:r>
      <w:r w:rsidR="00DF3C4E">
        <w:rPr>
          <w:rFonts w:ascii="Calibri" w:eastAsia="Calibri" w:hAnsi="Calibri" w:cs="Arial"/>
          <w:color w:val="000000"/>
          <w:sz w:val="24"/>
          <w:szCs w:val="24"/>
          <w:lang w:val="en-US"/>
        </w:rPr>
        <w:t xml:space="preserve">difficulty </w:t>
      </w:r>
      <w:r w:rsidR="00082E75">
        <w:rPr>
          <w:rFonts w:ascii="Calibri" w:eastAsia="Calibri" w:hAnsi="Calibri" w:cs="Arial"/>
          <w:color w:val="000000"/>
          <w:sz w:val="24"/>
          <w:szCs w:val="24"/>
          <w:lang w:val="en-US"/>
        </w:rPr>
        <w:t xml:space="preserve">is finding the </w:t>
      </w:r>
      <w:r w:rsidR="000570B4">
        <w:rPr>
          <w:rFonts w:ascii="Calibri" w:eastAsia="Calibri" w:hAnsi="Calibri" w:cs="Arial"/>
          <w:color w:val="000000"/>
          <w:sz w:val="24"/>
          <w:szCs w:val="24"/>
          <w:lang w:val="en-US"/>
        </w:rPr>
        <w:t xml:space="preserve">appropriate </w:t>
      </w:r>
      <w:r w:rsidRPr="00D817A3">
        <w:rPr>
          <w:rFonts w:ascii="Calibri" w:eastAsia="Calibri" w:hAnsi="Calibri" w:cs="Arial"/>
          <w:color w:val="000000"/>
          <w:sz w:val="24"/>
          <w:szCs w:val="24"/>
          <w:lang w:val="en-US"/>
        </w:rPr>
        <w:t xml:space="preserve">balance between these </w:t>
      </w:r>
      <w:r w:rsidR="00DF3C4E">
        <w:rPr>
          <w:rFonts w:ascii="Calibri" w:eastAsia="Calibri" w:hAnsi="Calibri" w:cs="Arial"/>
          <w:color w:val="000000"/>
          <w:sz w:val="24"/>
          <w:szCs w:val="24"/>
          <w:lang w:val="en-US"/>
        </w:rPr>
        <w:t>two valid but conflicting</w:t>
      </w:r>
      <w:r w:rsidRPr="00D817A3">
        <w:rPr>
          <w:rFonts w:ascii="Calibri" w:eastAsia="Calibri" w:hAnsi="Calibri" w:cs="Arial"/>
          <w:color w:val="000000"/>
          <w:sz w:val="24"/>
          <w:szCs w:val="24"/>
          <w:lang w:val="en-US"/>
        </w:rPr>
        <w:t xml:space="preserve"> principles.</w:t>
      </w:r>
      <w:r>
        <w:rPr>
          <w:rFonts w:ascii="Calibri" w:eastAsia="Calibri" w:hAnsi="Calibri" w:cs="Arial"/>
          <w:color w:val="000000"/>
          <w:sz w:val="24"/>
          <w:szCs w:val="24"/>
          <w:lang w:val="en-US"/>
        </w:rPr>
        <w:t xml:space="preserve"> </w:t>
      </w:r>
    </w:p>
    <w:p w14:paraId="705DD5FD" w14:textId="77777777" w:rsidR="00CA2B64" w:rsidRPr="008C45EA" w:rsidRDefault="00CA2B64" w:rsidP="00CA2B64">
      <w:pPr>
        <w:pStyle w:val="ListParagraph"/>
        <w:numPr>
          <w:ilvl w:val="0"/>
          <w:numId w:val="3"/>
        </w:numPr>
        <w:rPr>
          <w:rFonts w:ascii="Calibri" w:eastAsia="Calibri" w:hAnsi="Calibri" w:cs="Arial"/>
          <w:color w:val="000000"/>
          <w:sz w:val="24"/>
          <w:szCs w:val="24"/>
          <w:lang w:val="en-US"/>
        </w:rPr>
      </w:pPr>
      <w:r w:rsidRPr="008C45EA">
        <w:rPr>
          <w:rFonts w:ascii="Calibri" w:eastAsia="Calibri" w:hAnsi="Calibri" w:cs="Arial"/>
          <w:color w:val="000000"/>
          <w:sz w:val="24"/>
          <w:szCs w:val="24"/>
          <w:lang w:val="en-US"/>
        </w:rPr>
        <w:t xml:space="preserve">The </w:t>
      </w:r>
      <w:r w:rsidRPr="008C45EA">
        <w:rPr>
          <w:rFonts w:ascii="Calibri" w:eastAsia="Calibri" w:hAnsi="Calibri" w:cs="Arial"/>
          <w:i/>
          <w:iCs/>
          <w:color w:val="000000"/>
          <w:sz w:val="24"/>
          <w:szCs w:val="24"/>
          <w:lang w:val="en-US"/>
        </w:rPr>
        <w:t xml:space="preserve">Philipp </w:t>
      </w:r>
      <w:r w:rsidRPr="008C45EA">
        <w:rPr>
          <w:rFonts w:ascii="Calibri" w:eastAsia="Calibri" w:hAnsi="Calibri" w:cs="Arial"/>
          <w:color w:val="000000"/>
          <w:sz w:val="24"/>
          <w:szCs w:val="24"/>
          <w:lang w:val="en-US"/>
        </w:rPr>
        <w:t>Decision</w:t>
      </w:r>
    </w:p>
    <w:p w14:paraId="5AE7511B" w14:textId="6DE4C88B" w:rsidR="00CA2B64" w:rsidRPr="008C45EA" w:rsidRDefault="00CA2B64" w:rsidP="00CA2B64">
      <w:pPr>
        <w:rPr>
          <w:rFonts w:ascii="Calibri" w:eastAsia="Calibri" w:hAnsi="Calibri" w:cs="Arial"/>
          <w:color w:val="000000"/>
          <w:sz w:val="24"/>
          <w:szCs w:val="24"/>
          <w:lang w:val="en-US"/>
        </w:rPr>
      </w:pPr>
      <w:r w:rsidRPr="008C45EA">
        <w:rPr>
          <w:rFonts w:ascii="Calibri" w:eastAsia="Calibri" w:hAnsi="Calibri" w:cs="Arial"/>
          <w:color w:val="000000"/>
          <w:sz w:val="24"/>
          <w:szCs w:val="24"/>
          <w:lang w:val="en-US"/>
        </w:rPr>
        <w:t xml:space="preserve">Dr and Mrs Philipps succumbed to an elaborate scam that induced them to transfer sums of </w:t>
      </w:r>
      <w:r w:rsidRPr="008C45EA">
        <w:rPr>
          <w:rFonts w:ascii="Calibri" w:eastAsia="Calibri" w:hAnsi="Calibri" w:cs="Calibri"/>
          <w:color w:val="000000"/>
          <w:sz w:val="24"/>
          <w:szCs w:val="24"/>
          <w:lang w:val="en-US"/>
        </w:rPr>
        <w:t>£4</w:t>
      </w:r>
      <w:r w:rsidRPr="008C45EA">
        <w:rPr>
          <w:rFonts w:ascii="Calibri" w:eastAsia="Calibri" w:hAnsi="Calibri" w:cs="Arial"/>
          <w:color w:val="000000"/>
          <w:sz w:val="24"/>
          <w:szCs w:val="24"/>
          <w:lang w:val="en-US"/>
        </w:rPr>
        <w:t>00,000</w:t>
      </w:r>
      <w:r w:rsidR="00F1195E">
        <w:rPr>
          <w:rFonts w:ascii="Calibri" w:eastAsia="Calibri" w:hAnsi="Calibri" w:cs="Arial"/>
          <w:color w:val="000000"/>
          <w:sz w:val="24"/>
          <w:szCs w:val="24"/>
          <w:lang w:val="en-US"/>
        </w:rPr>
        <w:t xml:space="preserve"> and</w:t>
      </w:r>
      <w:r w:rsidR="00F1195E" w:rsidRPr="008C45EA">
        <w:rPr>
          <w:rFonts w:ascii="Calibri" w:eastAsia="Calibri" w:hAnsi="Calibri" w:cs="Calibri"/>
          <w:color w:val="000000"/>
          <w:sz w:val="24"/>
          <w:szCs w:val="24"/>
          <w:lang w:val="en-US"/>
        </w:rPr>
        <w:t>£</w:t>
      </w:r>
      <w:r w:rsidR="00F1195E">
        <w:rPr>
          <w:rFonts w:ascii="Calibri" w:eastAsia="Calibri" w:hAnsi="Calibri" w:cs="Calibri"/>
          <w:color w:val="000000"/>
          <w:sz w:val="24"/>
          <w:szCs w:val="24"/>
          <w:lang w:val="en-US"/>
        </w:rPr>
        <w:t>3</w:t>
      </w:r>
      <w:r w:rsidR="00F1195E" w:rsidRPr="008C45EA">
        <w:rPr>
          <w:rFonts w:ascii="Calibri" w:eastAsia="Calibri" w:hAnsi="Calibri" w:cs="Arial"/>
          <w:color w:val="000000"/>
          <w:sz w:val="24"/>
          <w:szCs w:val="24"/>
          <w:lang w:val="en-US"/>
        </w:rPr>
        <w:t>00,000</w:t>
      </w:r>
      <w:r w:rsidR="00F1195E">
        <w:rPr>
          <w:rFonts w:ascii="Calibri" w:eastAsia="Calibri" w:hAnsi="Calibri" w:cs="Arial"/>
          <w:color w:val="000000"/>
          <w:sz w:val="24"/>
          <w:szCs w:val="24"/>
          <w:lang w:val="en-US"/>
        </w:rPr>
        <w:t xml:space="preserve"> </w:t>
      </w:r>
      <w:r w:rsidRPr="008C45EA">
        <w:rPr>
          <w:rFonts w:ascii="Calibri" w:eastAsia="Calibri" w:hAnsi="Calibri" w:cs="Arial"/>
          <w:color w:val="000000"/>
          <w:sz w:val="24"/>
          <w:szCs w:val="24"/>
          <w:lang w:val="en-US"/>
        </w:rPr>
        <w:t xml:space="preserve">from an account held with Barclays Bank to third parties in the UAE. The couple might have lost even more had their account not been blocked after </w:t>
      </w:r>
      <w:r w:rsidR="00F1195E">
        <w:rPr>
          <w:rFonts w:ascii="Calibri" w:eastAsia="Calibri" w:hAnsi="Calibri" w:cs="Arial"/>
          <w:color w:val="000000"/>
          <w:sz w:val="24"/>
          <w:szCs w:val="24"/>
          <w:lang w:val="en-US"/>
        </w:rPr>
        <w:t xml:space="preserve">the intervention of the </w:t>
      </w:r>
      <w:r w:rsidR="00391D89">
        <w:rPr>
          <w:rFonts w:ascii="Calibri" w:eastAsia="Calibri" w:hAnsi="Calibri" w:cs="Arial"/>
          <w:color w:val="000000"/>
          <w:sz w:val="24"/>
          <w:szCs w:val="24"/>
          <w:lang w:val="en-US"/>
        </w:rPr>
        <w:t>police</w:t>
      </w:r>
      <w:r w:rsidRPr="008C45EA">
        <w:rPr>
          <w:rFonts w:ascii="Calibri" w:eastAsia="Calibri" w:hAnsi="Calibri" w:cs="Arial"/>
          <w:color w:val="000000"/>
          <w:sz w:val="24"/>
          <w:szCs w:val="24"/>
          <w:lang w:val="en-US"/>
        </w:rPr>
        <w:t>.</w:t>
      </w:r>
      <w:r w:rsidRPr="008C45EA">
        <w:rPr>
          <w:rFonts w:ascii="Calibri" w:eastAsia="Calibri" w:hAnsi="Calibri" w:cs="Arial"/>
          <w:color w:val="000000"/>
          <w:sz w:val="24"/>
          <w:szCs w:val="24"/>
          <w:vertAlign w:val="superscript"/>
          <w:lang w:val="en-US"/>
        </w:rPr>
        <w:footnoteReference w:id="45"/>
      </w:r>
      <w:r w:rsidRPr="008C45EA">
        <w:rPr>
          <w:rFonts w:ascii="Calibri" w:eastAsia="Calibri" w:hAnsi="Calibri" w:cs="Arial"/>
          <w:color w:val="000000"/>
          <w:sz w:val="24"/>
          <w:szCs w:val="24"/>
          <w:lang w:val="en-US"/>
        </w:rPr>
        <w:t xml:space="preserve"> With little prospect of recovering the monies from the recipients, the</w:t>
      </w:r>
      <w:r w:rsidR="00E71012">
        <w:rPr>
          <w:rFonts w:ascii="Calibri" w:eastAsia="Calibri" w:hAnsi="Calibri" w:cs="Arial"/>
          <w:color w:val="000000"/>
          <w:sz w:val="24"/>
          <w:szCs w:val="24"/>
          <w:lang w:val="en-US"/>
        </w:rPr>
        <w:t xml:space="preserve"> Philipps </w:t>
      </w:r>
      <w:r w:rsidRPr="008C45EA">
        <w:rPr>
          <w:rFonts w:ascii="Calibri" w:eastAsia="Calibri" w:hAnsi="Calibri" w:cs="Arial"/>
          <w:color w:val="000000"/>
          <w:sz w:val="24"/>
          <w:szCs w:val="24"/>
          <w:lang w:val="en-US"/>
        </w:rPr>
        <w:t xml:space="preserve">sued Barclays, the paying bank, alleging a breach of the </w:t>
      </w:r>
      <w:r w:rsidRPr="008C45EA">
        <w:rPr>
          <w:rFonts w:ascii="Calibri" w:eastAsia="Calibri" w:hAnsi="Calibri" w:cs="Arial"/>
          <w:i/>
          <w:iCs/>
          <w:color w:val="000000"/>
          <w:sz w:val="24"/>
          <w:szCs w:val="24"/>
          <w:lang w:val="en-US"/>
        </w:rPr>
        <w:t>Quincecare</w:t>
      </w:r>
      <w:r w:rsidRPr="008C45EA">
        <w:rPr>
          <w:rFonts w:ascii="Calibri" w:eastAsia="Calibri" w:hAnsi="Calibri" w:cs="Arial"/>
          <w:color w:val="000000"/>
          <w:sz w:val="24"/>
          <w:szCs w:val="24"/>
          <w:lang w:val="en-US"/>
        </w:rPr>
        <w:t xml:space="preserve"> duty.</w:t>
      </w:r>
      <w:r w:rsidRPr="008C45EA">
        <w:rPr>
          <w:rFonts w:ascii="Calibri" w:eastAsia="Calibri" w:hAnsi="Calibri" w:cs="Arial"/>
          <w:color w:val="000000"/>
          <w:sz w:val="24"/>
          <w:szCs w:val="24"/>
          <w:vertAlign w:val="superscript"/>
          <w:lang w:val="en-US"/>
        </w:rPr>
        <w:footnoteReference w:id="46"/>
      </w:r>
      <w:r w:rsidRPr="008C45EA">
        <w:rPr>
          <w:rFonts w:ascii="Calibri" w:eastAsia="Calibri" w:hAnsi="Calibri" w:cs="Arial"/>
          <w:color w:val="000000"/>
          <w:sz w:val="24"/>
          <w:szCs w:val="24"/>
          <w:lang w:val="en-US"/>
        </w:rPr>
        <w:t xml:space="preserve"> </w:t>
      </w:r>
      <w:r w:rsidR="00391D89" w:rsidRPr="008C45EA">
        <w:rPr>
          <w:rFonts w:ascii="Calibri" w:eastAsia="Calibri" w:hAnsi="Calibri" w:cs="Arial"/>
          <w:color w:val="000000"/>
          <w:sz w:val="24"/>
          <w:szCs w:val="24"/>
          <w:lang w:val="en-US"/>
        </w:rPr>
        <w:t xml:space="preserve">HHJ Russen </w:t>
      </w:r>
      <w:r w:rsidR="006920FF" w:rsidRPr="008C45EA">
        <w:rPr>
          <w:rFonts w:ascii="Calibri" w:eastAsia="Calibri" w:hAnsi="Calibri" w:cs="Arial"/>
          <w:color w:val="000000"/>
          <w:sz w:val="24"/>
          <w:szCs w:val="24"/>
          <w:lang w:val="en-US"/>
        </w:rPr>
        <w:t xml:space="preserve">QC </w:t>
      </w:r>
      <w:r w:rsidR="006920FF">
        <w:rPr>
          <w:rFonts w:ascii="Calibri" w:eastAsia="Calibri" w:hAnsi="Calibri" w:cs="Arial"/>
          <w:color w:val="000000"/>
          <w:sz w:val="24"/>
          <w:szCs w:val="24"/>
          <w:lang w:val="en-US"/>
        </w:rPr>
        <w:t>in</w:t>
      </w:r>
      <w:r w:rsidR="00391D89">
        <w:rPr>
          <w:rFonts w:ascii="Calibri" w:eastAsia="Calibri" w:hAnsi="Calibri" w:cs="Arial"/>
          <w:color w:val="000000"/>
          <w:sz w:val="24"/>
          <w:szCs w:val="24"/>
          <w:lang w:val="en-US"/>
        </w:rPr>
        <w:t xml:space="preserve"> t</w:t>
      </w:r>
      <w:r w:rsidRPr="008C45EA">
        <w:rPr>
          <w:rFonts w:ascii="Calibri" w:eastAsia="Calibri" w:hAnsi="Calibri" w:cs="Arial"/>
          <w:color w:val="000000"/>
          <w:sz w:val="24"/>
          <w:szCs w:val="24"/>
          <w:lang w:val="en-US"/>
        </w:rPr>
        <w:t>he High Court, while sympathetic to the plight of the couple, ruled in favour of the bank in an application for summary judgment.</w:t>
      </w:r>
    </w:p>
    <w:p w14:paraId="67FEC84E" w14:textId="77777777" w:rsidR="00AB5145" w:rsidRDefault="00CA2B64" w:rsidP="00CA2B64">
      <w:pPr>
        <w:rPr>
          <w:rFonts w:ascii="Calibri" w:eastAsia="Calibri" w:hAnsi="Calibri" w:cs="Arial"/>
          <w:color w:val="000000"/>
          <w:sz w:val="24"/>
          <w:szCs w:val="24"/>
          <w:lang w:val="en-US"/>
        </w:rPr>
      </w:pPr>
      <w:r w:rsidRPr="008C45EA">
        <w:rPr>
          <w:rFonts w:ascii="Calibri" w:eastAsia="Calibri" w:hAnsi="Calibri" w:cs="Arial"/>
          <w:color w:val="000000"/>
          <w:sz w:val="24"/>
          <w:szCs w:val="24"/>
          <w:lang w:val="en-US"/>
        </w:rPr>
        <w:t xml:space="preserve">Russen QC considered, not that there was no breach of the bank’s duty, but that the </w:t>
      </w:r>
      <w:r w:rsidRPr="008C45EA">
        <w:rPr>
          <w:rFonts w:ascii="Calibri" w:eastAsia="Calibri" w:hAnsi="Calibri" w:cs="Arial"/>
          <w:i/>
          <w:iCs/>
          <w:color w:val="000000"/>
          <w:sz w:val="24"/>
          <w:szCs w:val="24"/>
          <w:lang w:val="en-US"/>
        </w:rPr>
        <w:t xml:space="preserve">Quincecare </w:t>
      </w:r>
      <w:r w:rsidRPr="008C45EA">
        <w:rPr>
          <w:rFonts w:ascii="Calibri" w:eastAsia="Calibri" w:hAnsi="Calibri" w:cs="Arial"/>
          <w:color w:val="000000"/>
          <w:sz w:val="24"/>
          <w:szCs w:val="24"/>
          <w:lang w:val="en-US"/>
        </w:rPr>
        <w:t>duty did not a</w:t>
      </w:r>
      <w:r w:rsidR="00E71012">
        <w:rPr>
          <w:rFonts w:ascii="Calibri" w:eastAsia="Calibri" w:hAnsi="Calibri" w:cs="Arial"/>
          <w:color w:val="000000"/>
          <w:sz w:val="24"/>
          <w:szCs w:val="24"/>
          <w:lang w:val="en-US"/>
        </w:rPr>
        <w:t>rise</w:t>
      </w:r>
      <w:r w:rsidRPr="008C45EA">
        <w:rPr>
          <w:rFonts w:ascii="Calibri" w:eastAsia="Calibri" w:hAnsi="Calibri" w:cs="Arial"/>
          <w:color w:val="000000"/>
          <w:sz w:val="24"/>
          <w:szCs w:val="24"/>
          <w:lang w:val="en-US"/>
        </w:rPr>
        <w:t xml:space="preserve"> because it is confined to </w:t>
      </w:r>
      <w:r w:rsidR="00E71012">
        <w:rPr>
          <w:rFonts w:ascii="Calibri" w:eastAsia="Calibri" w:hAnsi="Calibri" w:cs="Arial"/>
          <w:color w:val="000000"/>
          <w:sz w:val="24"/>
          <w:szCs w:val="24"/>
          <w:lang w:val="en-US"/>
        </w:rPr>
        <w:t xml:space="preserve">situations where </w:t>
      </w:r>
      <w:r w:rsidRPr="008C45EA">
        <w:rPr>
          <w:rFonts w:ascii="Calibri" w:eastAsia="Calibri" w:hAnsi="Calibri" w:cs="Arial"/>
          <w:color w:val="000000"/>
          <w:sz w:val="24"/>
          <w:szCs w:val="24"/>
          <w:lang w:val="en-US"/>
        </w:rPr>
        <w:t xml:space="preserve">a customer </w:t>
      </w:r>
      <w:r w:rsidR="00AB5145">
        <w:rPr>
          <w:rFonts w:ascii="Calibri" w:eastAsia="Calibri" w:hAnsi="Calibri" w:cs="Arial"/>
          <w:color w:val="000000"/>
          <w:sz w:val="24"/>
          <w:szCs w:val="24"/>
          <w:lang w:val="en-US"/>
        </w:rPr>
        <w:t xml:space="preserve">was </w:t>
      </w:r>
      <w:r w:rsidRPr="008C45EA">
        <w:rPr>
          <w:rFonts w:ascii="Calibri" w:eastAsia="Calibri" w:hAnsi="Calibri" w:cs="Arial"/>
          <w:color w:val="000000"/>
          <w:sz w:val="24"/>
          <w:szCs w:val="24"/>
          <w:lang w:val="en-US"/>
        </w:rPr>
        <w:lastRenderedPageBreak/>
        <w:t xml:space="preserve">acting via an agent. </w:t>
      </w:r>
      <w:r w:rsidR="00E71012">
        <w:rPr>
          <w:rFonts w:ascii="Calibri" w:eastAsia="Calibri" w:hAnsi="Calibri" w:cs="Arial"/>
          <w:color w:val="000000"/>
          <w:sz w:val="24"/>
          <w:szCs w:val="24"/>
          <w:lang w:val="en-US"/>
        </w:rPr>
        <w:t xml:space="preserve">For this reason, </w:t>
      </w:r>
      <w:r w:rsidR="00391D89">
        <w:rPr>
          <w:rFonts w:ascii="Calibri" w:eastAsia="Calibri" w:hAnsi="Calibri" w:cs="Arial"/>
          <w:color w:val="000000"/>
          <w:sz w:val="24"/>
          <w:szCs w:val="24"/>
          <w:lang w:val="en-US"/>
        </w:rPr>
        <w:t>he</w:t>
      </w:r>
      <w:r w:rsidR="00E71012" w:rsidRPr="008C45EA">
        <w:rPr>
          <w:rFonts w:ascii="Calibri" w:eastAsia="Calibri" w:hAnsi="Calibri" w:cs="Arial"/>
          <w:color w:val="000000"/>
          <w:sz w:val="24"/>
          <w:szCs w:val="24"/>
          <w:lang w:val="en-US"/>
        </w:rPr>
        <w:t xml:space="preserve"> </w:t>
      </w:r>
      <w:r w:rsidRPr="008C45EA">
        <w:rPr>
          <w:rFonts w:ascii="Calibri" w:eastAsia="Calibri" w:hAnsi="Calibri" w:cs="Arial"/>
          <w:color w:val="000000"/>
          <w:sz w:val="24"/>
          <w:szCs w:val="24"/>
          <w:lang w:val="en-US"/>
        </w:rPr>
        <w:t>did not consider that the bank’s duty protected individual customers</w:t>
      </w:r>
      <w:r w:rsidR="00E71012">
        <w:rPr>
          <w:rFonts w:ascii="Calibri" w:eastAsia="Calibri" w:hAnsi="Calibri" w:cs="Arial"/>
          <w:color w:val="000000"/>
          <w:sz w:val="24"/>
          <w:szCs w:val="24"/>
          <w:lang w:val="en-US"/>
        </w:rPr>
        <w:t>, such as the Philipps,</w:t>
      </w:r>
      <w:r w:rsidRPr="008C45EA">
        <w:rPr>
          <w:rFonts w:ascii="Calibri" w:eastAsia="Calibri" w:hAnsi="Calibri" w:cs="Arial"/>
          <w:color w:val="000000"/>
          <w:sz w:val="24"/>
          <w:szCs w:val="24"/>
          <w:lang w:val="en-US"/>
        </w:rPr>
        <w:t xml:space="preserve"> from their own intentional instructions.</w:t>
      </w:r>
      <w:r w:rsidRPr="008C45EA">
        <w:rPr>
          <w:rFonts w:ascii="Calibri" w:eastAsia="Calibri" w:hAnsi="Calibri" w:cs="Arial"/>
          <w:color w:val="000000"/>
          <w:sz w:val="24"/>
          <w:szCs w:val="24"/>
          <w:vertAlign w:val="superscript"/>
          <w:lang w:val="en-US"/>
        </w:rPr>
        <w:footnoteReference w:id="47"/>
      </w:r>
      <w:r w:rsidRPr="008C45EA">
        <w:rPr>
          <w:rFonts w:ascii="Calibri" w:eastAsia="Calibri" w:hAnsi="Calibri" w:cs="Arial"/>
          <w:color w:val="000000"/>
          <w:sz w:val="24"/>
          <w:szCs w:val="24"/>
          <w:lang w:val="en-US"/>
        </w:rPr>
        <w:t xml:space="preserve"> </w:t>
      </w:r>
      <w:r w:rsidR="00AB5145">
        <w:rPr>
          <w:rFonts w:ascii="Calibri" w:eastAsia="Calibri" w:hAnsi="Calibri" w:cs="Arial"/>
          <w:color w:val="000000"/>
          <w:sz w:val="24"/>
          <w:szCs w:val="24"/>
          <w:lang w:val="en-US"/>
        </w:rPr>
        <w:t xml:space="preserve">A side observation that should be made is that </w:t>
      </w:r>
      <w:r w:rsidRPr="008C45EA">
        <w:rPr>
          <w:rFonts w:ascii="Calibri" w:eastAsia="Calibri" w:hAnsi="Calibri" w:cs="Arial"/>
          <w:color w:val="000000"/>
          <w:sz w:val="24"/>
          <w:szCs w:val="24"/>
          <w:lang w:val="en-US"/>
        </w:rPr>
        <w:t xml:space="preserve">individuals can act through agents too, </w:t>
      </w:r>
      <w:r w:rsidR="00E71012">
        <w:rPr>
          <w:rFonts w:ascii="Calibri" w:eastAsia="Calibri" w:hAnsi="Calibri" w:cs="Arial"/>
          <w:color w:val="000000"/>
          <w:sz w:val="24"/>
          <w:szCs w:val="24"/>
          <w:lang w:val="en-US"/>
        </w:rPr>
        <w:t xml:space="preserve">but it is </w:t>
      </w:r>
      <w:r w:rsidRPr="008C45EA">
        <w:rPr>
          <w:rFonts w:ascii="Calibri" w:eastAsia="Calibri" w:hAnsi="Calibri" w:cs="Arial"/>
          <w:color w:val="000000"/>
          <w:sz w:val="24"/>
          <w:szCs w:val="24"/>
          <w:lang w:val="en-US"/>
        </w:rPr>
        <w:t>less common</w:t>
      </w:r>
      <w:r w:rsidR="00AB5145">
        <w:rPr>
          <w:rFonts w:ascii="Calibri" w:eastAsia="Calibri" w:hAnsi="Calibri" w:cs="Arial"/>
          <w:color w:val="000000"/>
          <w:sz w:val="24"/>
          <w:szCs w:val="24"/>
          <w:lang w:val="en-US"/>
        </w:rPr>
        <w:t xml:space="preserve"> and practically, therefore, the </w:t>
      </w:r>
      <w:r w:rsidR="00AB5145" w:rsidRPr="008C45EA">
        <w:rPr>
          <w:rFonts w:ascii="Calibri" w:eastAsia="Calibri" w:hAnsi="Calibri" w:cs="Arial"/>
          <w:i/>
          <w:iCs/>
          <w:color w:val="000000"/>
          <w:sz w:val="24"/>
          <w:szCs w:val="24"/>
          <w:lang w:val="en-US"/>
        </w:rPr>
        <w:t xml:space="preserve">Quincecare </w:t>
      </w:r>
      <w:r w:rsidR="00AB5145" w:rsidRPr="008C45EA">
        <w:rPr>
          <w:rFonts w:ascii="Calibri" w:eastAsia="Calibri" w:hAnsi="Calibri" w:cs="Arial"/>
          <w:color w:val="000000"/>
          <w:sz w:val="24"/>
          <w:szCs w:val="24"/>
          <w:lang w:val="en-US"/>
        </w:rPr>
        <w:t>duty</w:t>
      </w:r>
      <w:r w:rsidR="00AB5145">
        <w:rPr>
          <w:rFonts w:ascii="Calibri" w:eastAsia="Calibri" w:hAnsi="Calibri" w:cs="Arial"/>
          <w:color w:val="000000"/>
          <w:sz w:val="24"/>
          <w:szCs w:val="24"/>
          <w:lang w:val="en-US"/>
        </w:rPr>
        <w:t xml:space="preserve"> construed in this way would not assist individuals</w:t>
      </w:r>
      <w:r w:rsidR="00E71012">
        <w:rPr>
          <w:rFonts w:ascii="Calibri" w:eastAsia="Calibri" w:hAnsi="Calibri" w:cs="Arial"/>
          <w:color w:val="000000"/>
          <w:sz w:val="24"/>
          <w:szCs w:val="24"/>
          <w:lang w:val="en-US"/>
        </w:rPr>
        <w:t xml:space="preserve">. </w:t>
      </w:r>
    </w:p>
    <w:p w14:paraId="496CDCC2" w14:textId="59DE13AB" w:rsidR="00CA2B64" w:rsidRDefault="00E71012" w:rsidP="00CA2B64">
      <w:pPr>
        <w:rPr>
          <w:rFonts w:ascii="Calibri" w:eastAsia="Calibri" w:hAnsi="Calibri" w:cs="Arial"/>
          <w:color w:val="000000"/>
          <w:sz w:val="24"/>
          <w:szCs w:val="24"/>
          <w:lang w:val="en-US"/>
        </w:rPr>
      </w:pPr>
      <w:r>
        <w:rPr>
          <w:rFonts w:ascii="Calibri" w:eastAsia="Calibri" w:hAnsi="Calibri" w:cs="Arial"/>
          <w:color w:val="000000"/>
          <w:sz w:val="24"/>
          <w:szCs w:val="24"/>
          <w:lang w:val="en-US"/>
        </w:rPr>
        <w:t xml:space="preserve">Put another way, </w:t>
      </w:r>
      <w:r w:rsidR="00CA2B64" w:rsidRPr="008C45EA">
        <w:rPr>
          <w:rFonts w:ascii="Calibri" w:eastAsia="Calibri" w:hAnsi="Calibri" w:cs="Arial"/>
          <w:color w:val="000000"/>
          <w:sz w:val="24"/>
          <w:szCs w:val="24"/>
          <w:lang w:val="en-US"/>
        </w:rPr>
        <w:t xml:space="preserve">Russen QC’s point </w:t>
      </w:r>
      <w:r>
        <w:rPr>
          <w:rFonts w:ascii="Calibri" w:eastAsia="Calibri" w:hAnsi="Calibri" w:cs="Arial"/>
          <w:color w:val="000000"/>
          <w:sz w:val="24"/>
          <w:szCs w:val="24"/>
          <w:lang w:val="en-US"/>
        </w:rPr>
        <w:t>was that</w:t>
      </w:r>
      <w:r w:rsidR="00CA2B64" w:rsidRPr="008C45EA">
        <w:rPr>
          <w:rFonts w:ascii="Calibri" w:eastAsia="Calibri" w:hAnsi="Calibri" w:cs="Arial"/>
          <w:color w:val="000000"/>
          <w:sz w:val="24"/>
          <w:szCs w:val="24"/>
          <w:lang w:val="en-US"/>
        </w:rPr>
        <w:t xml:space="preserve"> the bank’s duty arises when it has reason to doubt the ‘genuineness of the instruction to pay the monies’</w:t>
      </w:r>
      <w:r>
        <w:rPr>
          <w:rFonts w:ascii="Calibri" w:eastAsia="Calibri" w:hAnsi="Calibri" w:cs="Arial"/>
          <w:color w:val="000000"/>
          <w:sz w:val="24"/>
          <w:szCs w:val="24"/>
          <w:lang w:val="en-US"/>
        </w:rPr>
        <w:t xml:space="preserve"> because </w:t>
      </w:r>
      <w:r w:rsidR="00DD392D">
        <w:rPr>
          <w:rFonts w:ascii="Calibri" w:eastAsia="Calibri" w:hAnsi="Calibri" w:cs="Arial"/>
          <w:color w:val="000000"/>
          <w:sz w:val="24"/>
          <w:szCs w:val="24"/>
          <w:lang w:val="en-US"/>
        </w:rPr>
        <w:t>they have been given by</w:t>
      </w:r>
      <w:r>
        <w:rPr>
          <w:rFonts w:ascii="Calibri" w:eastAsia="Calibri" w:hAnsi="Calibri" w:cs="Arial"/>
          <w:color w:val="000000"/>
          <w:sz w:val="24"/>
          <w:szCs w:val="24"/>
          <w:lang w:val="en-US"/>
        </w:rPr>
        <w:t xml:space="preserve"> a</w:t>
      </w:r>
      <w:r w:rsidR="001451D8">
        <w:rPr>
          <w:rFonts w:ascii="Calibri" w:eastAsia="Calibri" w:hAnsi="Calibri" w:cs="Arial"/>
          <w:color w:val="000000"/>
          <w:sz w:val="24"/>
          <w:szCs w:val="24"/>
          <w:lang w:val="en-US"/>
        </w:rPr>
        <w:t xml:space="preserve"> rogue</w:t>
      </w:r>
      <w:r>
        <w:rPr>
          <w:rFonts w:ascii="Calibri" w:eastAsia="Calibri" w:hAnsi="Calibri" w:cs="Arial"/>
          <w:color w:val="000000"/>
          <w:sz w:val="24"/>
          <w:szCs w:val="24"/>
          <w:lang w:val="en-US"/>
        </w:rPr>
        <w:t xml:space="preserve"> agent; it</w:t>
      </w:r>
      <w:r w:rsidR="00CA2B64" w:rsidRPr="008C45EA">
        <w:rPr>
          <w:rFonts w:ascii="Calibri" w:eastAsia="Calibri" w:hAnsi="Calibri" w:cs="Arial"/>
          <w:color w:val="000000"/>
          <w:sz w:val="24"/>
          <w:szCs w:val="24"/>
          <w:lang w:val="en-US"/>
        </w:rPr>
        <w:t xml:space="preserve"> does not extend to questioning the ‘genuineness of the recipient of the monies’.</w:t>
      </w:r>
      <w:r w:rsidR="00CA2B64" w:rsidRPr="008C45EA">
        <w:rPr>
          <w:rFonts w:ascii="Calibri" w:eastAsia="Calibri" w:hAnsi="Calibri" w:cs="Arial"/>
          <w:color w:val="000000"/>
          <w:sz w:val="24"/>
          <w:szCs w:val="24"/>
          <w:vertAlign w:val="superscript"/>
          <w:lang w:val="en-US"/>
        </w:rPr>
        <w:footnoteReference w:id="48"/>
      </w:r>
      <w:r w:rsidR="00CA2B64" w:rsidRPr="008C45EA">
        <w:rPr>
          <w:rFonts w:ascii="Calibri" w:eastAsia="Calibri" w:hAnsi="Calibri" w:cs="Arial"/>
          <w:color w:val="000000"/>
          <w:sz w:val="24"/>
          <w:szCs w:val="24"/>
          <w:lang w:val="en-US"/>
        </w:rPr>
        <w:t xml:space="preserve"> Russen QC reasoned</w:t>
      </w:r>
      <w:r>
        <w:rPr>
          <w:rFonts w:ascii="Calibri" w:eastAsia="Calibri" w:hAnsi="Calibri" w:cs="Arial"/>
          <w:color w:val="000000"/>
          <w:sz w:val="24"/>
          <w:szCs w:val="24"/>
          <w:lang w:val="en-US"/>
        </w:rPr>
        <w:t xml:space="preserve"> </w:t>
      </w:r>
      <w:r w:rsidR="00CA2B64" w:rsidRPr="008C45EA">
        <w:rPr>
          <w:rFonts w:ascii="Calibri" w:eastAsia="Calibri" w:hAnsi="Calibri" w:cs="Arial"/>
          <w:color w:val="000000"/>
          <w:sz w:val="24"/>
          <w:szCs w:val="24"/>
          <w:lang w:val="en-US"/>
        </w:rPr>
        <w:t>that a bank’s primary duty is to execute payment instructions, and it would be ‘commercially unrealistic’ to expect bank staff to question</w:t>
      </w:r>
      <w:r w:rsidR="00DD392D">
        <w:rPr>
          <w:rFonts w:ascii="Calibri" w:eastAsia="Calibri" w:hAnsi="Calibri" w:cs="Arial"/>
          <w:color w:val="000000"/>
          <w:sz w:val="24"/>
          <w:szCs w:val="24"/>
          <w:lang w:val="en-US"/>
        </w:rPr>
        <w:t xml:space="preserve"> such</w:t>
      </w:r>
      <w:r w:rsidR="00CA2B64" w:rsidRPr="008C45EA">
        <w:rPr>
          <w:rFonts w:ascii="Calibri" w:eastAsia="Calibri" w:hAnsi="Calibri" w:cs="Arial"/>
          <w:color w:val="000000"/>
          <w:sz w:val="24"/>
          <w:szCs w:val="24"/>
          <w:lang w:val="en-US"/>
        </w:rPr>
        <w:t xml:space="preserve"> instructions.</w:t>
      </w:r>
      <w:r w:rsidR="00CA2B64" w:rsidRPr="008C45EA">
        <w:rPr>
          <w:rFonts w:ascii="Calibri" w:eastAsia="Calibri" w:hAnsi="Calibri" w:cs="Arial"/>
          <w:color w:val="000000"/>
          <w:sz w:val="24"/>
          <w:szCs w:val="24"/>
          <w:vertAlign w:val="superscript"/>
          <w:lang w:val="en-US"/>
        </w:rPr>
        <w:footnoteReference w:id="49"/>
      </w:r>
      <w:r w:rsidR="00CA2B64" w:rsidRPr="008C45EA">
        <w:rPr>
          <w:rFonts w:ascii="Calibri" w:eastAsia="Calibri" w:hAnsi="Calibri" w:cs="Arial"/>
          <w:color w:val="000000"/>
          <w:sz w:val="24"/>
          <w:szCs w:val="24"/>
          <w:lang w:val="en-US"/>
        </w:rPr>
        <w:t xml:space="preserve"> </w:t>
      </w:r>
      <w:r>
        <w:rPr>
          <w:rFonts w:ascii="Calibri" w:eastAsia="Calibri" w:hAnsi="Calibri" w:cs="Arial"/>
          <w:color w:val="000000"/>
          <w:sz w:val="24"/>
          <w:szCs w:val="24"/>
          <w:lang w:val="en-US"/>
        </w:rPr>
        <w:t>Furthermore,</w:t>
      </w:r>
      <w:r w:rsidR="00CA2B64" w:rsidRPr="008C45EA">
        <w:rPr>
          <w:rFonts w:ascii="Calibri" w:eastAsia="Calibri" w:hAnsi="Calibri" w:cs="Arial"/>
          <w:color w:val="000000"/>
          <w:sz w:val="24"/>
          <w:szCs w:val="24"/>
          <w:lang w:val="en-US"/>
        </w:rPr>
        <w:t xml:space="preserve"> in the absence of a</w:t>
      </w:r>
      <w:r w:rsidR="00DD392D">
        <w:rPr>
          <w:rFonts w:ascii="Calibri" w:eastAsia="Calibri" w:hAnsi="Calibri" w:cs="Arial"/>
          <w:color w:val="000000"/>
          <w:sz w:val="24"/>
          <w:szCs w:val="24"/>
          <w:lang w:val="en-US"/>
        </w:rPr>
        <w:t>n industry-recognized</w:t>
      </w:r>
      <w:r w:rsidR="00CA2B64" w:rsidRPr="008C45EA">
        <w:rPr>
          <w:rFonts w:ascii="Calibri" w:eastAsia="Calibri" w:hAnsi="Calibri" w:cs="Arial"/>
          <w:color w:val="000000"/>
          <w:sz w:val="24"/>
          <w:szCs w:val="24"/>
          <w:lang w:val="en-US"/>
        </w:rPr>
        <w:t xml:space="preserve"> framework, an expanded </w:t>
      </w:r>
      <w:r w:rsidR="00CA2B64" w:rsidRPr="008C45EA">
        <w:rPr>
          <w:rFonts w:ascii="Calibri" w:eastAsia="Calibri" w:hAnsi="Calibri" w:cs="Arial"/>
          <w:i/>
          <w:iCs/>
          <w:color w:val="000000"/>
          <w:sz w:val="24"/>
          <w:szCs w:val="24"/>
          <w:lang w:val="en-US"/>
        </w:rPr>
        <w:t xml:space="preserve">Quincecare </w:t>
      </w:r>
      <w:r w:rsidR="00CA2B64" w:rsidRPr="008C45EA">
        <w:rPr>
          <w:rFonts w:ascii="Calibri" w:eastAsia="Calibri" w:hAnsi="Calibri" w:cs="Arial"/>
          <w:color w:val="000000"/>
          <w:sz w:val="24"/>
          <w:szCs w:val="24"/>
          <w:lang w:val="en-US"/>
        </w:rPr>
        <w:t>duty would generate undesirable uncertainty about the level of vigilance required from the bank.</w:t>
      </w:r>
      <w:r w:rsidR="00CA2B64" w:rsidRPr="008C45EA">
        <w:rPr>
          <w:rFonts w:ascii="Calibri" w:eastAsia="Calibri" w:hAnsi="Calibri" w:cs="Arial"/>
          <w:color w:val="000000"/>
          <w:sz w:val="24"/>
          <w:szCs w:val="24"/>
          <w:vertAlign w:val="superscript"/>
          <w:lang w:val="en-US"/>
        </w:rPr>
        <w:footnoteReference w:id="50"/>
      </w:r>
      <w:r w:rsidR="00CA2B64" w:rsidRPr="008C45EA">
        <w:rPr>
          <w:rFonts w:ascii="Calibri" w:eastAsia="Calibri" w:hAnsi="Calibri" w:cs="Arial"/>
          <w:color w:val="000000"/>
          <w:sz w:val="24"/>
          <w:szCs w:val="24"/>
          <w:lang w:val="en-US"/>
        </w:rPr>
        <w:t xml:space="preserve"> </w:t>
      </w:r>
      <w:r>
        <w:rPr>
          <w:rFonts w:ascii="Calibri" w:eastAsia="Calibri" w:hAnsi="Calibri" w:cs="Arial"/>
          <w:color w:val="000000"/>
          <w:sz w:val="24"/>
          <w:szCs w:val="24"/>
          <w:lang w:val="en-US"/>
        </w:rPr>
        <w:t>In short, a</w:t>
      </w:r>
      <w:r w:rsidR="00CA2B64" w:rsidRPr="008C45EA">
        <w:rPr>
          <w:rFonts w:ascii="Calibri" w:eastAsia="Calibri" w:hAnsi="Calibri" w:cs="Arial"/>
          <w:color w:val="000000"/>
          <w:sz w:val="24"/>
          <w:szCs w:val="24"/>
          <w:lang w:val="en-US"/>
        </w:rPr>
        <w:t xml:space="preserve"> bank c</w:t>
      </w:r>
      <w:r>
        <w:rPr>
          <w:rFonts w:ascii="Calibri" w:eastAsia="Calibri" w:hAnsi="Calibri" w:cs="Arial"/>
          <w:color w:val="000000"/>
          <w:sz w:val="24"/>
          <w:szCs w:val="24"/>
          <w:lang w:val="en-US"/>
        </w:rPr>
        <w:t>an</w:t>
      </w:r>
      <w:r w:rsidR="00CA2B64" w:rsidRPr="008C45EA">
        <w:rPr>
          <w:rFonts w:ascii="Calibri" w:eastAsia="Calibri" w:hAnsi="Calibri" w:cs="Arial"/>
          <w:color w:val="000000"/>
          <w:sz w:val="24"/>
          <w:szCs w:val="24"/>
          <w:lang w:val="en-US"/>
        </w:rPr>
        <w:t>not be expected to assume the role of detective.</w:t>
      </w:r>
      <w:r w:rsidR="00CA2B64" w:rsidRPr="008C45EA">
        <w:rPr>
          <w:rFonts w:ascii="Calibri" w:eastAsia="Calibri" w:hAnsi="Calibri" w:cs="Arial"/>
          <w:color w:val="000000"/>
          <w:sz w:val="24"/>
          <w:szCs w:val="24"/>
          <w:vertAlign w:val="superscript"/>
          <w:lang w:val="en-US"/>
        </w:rPr>
        <w:footnoteReference w:id="51"/>
      </w:r>
    </w:p>
    <w:p w14:paraId="577AF45C" w14:textId="73639861" w:rsidR="00906F00" w:rsidRDefault="00906F00" w:rsidP="00906F00">
      <w:pPr>
        <w:rPr>
          <w:rFonts w:ascii="Calibri" w:eastAsia="Calibri" w:hAnsi="Calibri" w:cs="Arial"/>
          <w:color w:val="000000"/>
          <w:sz w:val="24"/>
          <w:szCs w:val="24"/>
          <w:lang w:val="en-US"/>
        </w:rPr>
      </w:pPr>
      <w:r>
        <w:rPr>
          <w:rFonts w:ascii="Calibri" w:eastAsia="Calibri" w:hAnsi="Calibri" w:cs="Arial"/>
          <w:color w:val="000000"/>
          <w:sz w:val="24"/>
          <w:szCs w:val="24"/>
          <w:lang w:val="en-US"/>
        </w:rPr>
        <w:t xml:space="preserve">As regards outcome, the decision is </w:t>
      </w:r>
      <w:r w:rsidR="00F260D0">
        <w:rPr>
          <w:rFonts w:ascii="Calibri" w:eastAsia="Calibri" w:hAnsi="Calibri" w:cs="Arial"/>
          <w:color w:val="000000"/>
          <w:sz w:val="24"/>
          <w:szCs w:val="24"/>
          <w:lang w:val="en-US"/>
        </w:rPr>
        <w:t>probably</w:t>
      </w:r>
      <w:r>
        <w:rPr>
          <w:rFonts w:ascii="Calibri" w:eastAsia="Calibri" w:hAnsi="Calibri" w:cs="Arial"/>
          <w:color w:val="000000"/>
          <w:sz w:val="24"/>
          <w:szCs w:val="24"/>
          <w:lang w:val="en-US"/>
        </w:rPr>
        <w:t xml:space="preserve"> correct. </w:t>
      </w:r>
      <w:r w:rsidR="00F260D0">
        <w:rPr>
          <w:rFonts w:ascii="Calibri" w:eastAsia="Calibri" w:hAnsi="Calibri" w:cs="Arial"/>
          <w:color w:val="000000"/>
          <w:sz w:val="24"/>
          <w:szCs w:val="24"/>
          <w:lang w:val="en-US"/>
        </w:rPr>
        <w:t xml:space="preserve">It appears that </w:t>
      </w:r>
      <w:r w:rsidRPr="00FA7170">
        <w:rPr>
          <w:rFonts w:ascii="Calibri" w:eastAsia="Calibri" w:hAnsi="Calibri" w:cs="Arial"/>
          <w:color w:val="000000"/>
          <w:sz w:val="24"/>
          <w:szCs w:val="24"/>
          <w:lang w:val="en-US"/>
        </w:rPr>
        <w:t xml:space="preserve">Barclays </w:t>
      </w:r>
      <w:r>
        <w:rPr>
          <w:rFonts w:ascii="Calibri" w:eastAsia="Calibri" w:hAnsi="Calibri" w:cs="Arial"/>
          <w:color w:val="000000"/>
          <w:sz w:val="24"/>
          <w:szCs w:val="24"/>
          <w:lang w:val="en-US"/>
        </w:rPr>
        <w:t>in fact</w:t>
      </w:r>
      <w:r w:rsidRPr="00FA7170">
        <w:rPr>
          <w:rFonts w:ascii="Calibri" w:eastAsia="Calibri" w:hAnsi="Calibri" w:cs="Arial"/>
          <w:color w:val="000000"/>
          <w:sz w:val="24"/>
          <w:szCs w:val="24"/>
          <w:lang w:val="en-US"/>
        </w:rPr>
        <w:t xml:space="preserve"> queried the</w:t>
      </w:r>
      <w:r>
        <w:rPr>
          <w:rFonts w:ascii="Calibri" w:eastAsia="Calibri" w:hAnsi="Calibri" w:cs="Arial"/>
          <w:color w:val="000000"/>
          <w:sz w:val="24"/>
          <w:szCs w:val="24"/>
          <w:lang w:val="en-US"/>
        </w:rPr>
        <w:t xml:space="preserve"> two</w:t>
      </w:r>
      <w:r w:rsidRPr="00FA7170">
        <w:rPr>
          <w:rFonts w:ascii="Calibri" w:eastAsia="Calibri" w:hAnsi="Calibri" w:cs="Arial"/>
          <w:color w:val="000000"/>
          <w:sz w:val="24"/>
          <w:szCs w:val="24"/>
          <w:lang w:val="en-US"/>
        </w:rPr>
        <w:t xml:space="preserve"> transactions before they were processed</w:t>
      </w:r>
      <w:r w:rsidR="00F260D0">
        <w:rPr>
          <w:rFonts w:ascii="Calibri" w:eastAsia="Calibri" w:hAnsi="Calibri" w:cs="Arial"/>
          <w:color w:val="000000"/>
          <w:sz w:val="24"/>
          <w:szCs w:val="24"/>
          <w:lang w:val="en-US"/>
        </w:rPr>
        <w:t>,</w:t>
      </w:r>
      <w:r w:rsidR="00F260D0">
        <w:rPr>
          <w:rStyle w:val="FootnoteReference"/>
          <w:rFonts w:ascii="Calibri" w:eastAsia="Calibri" w:hAnsi="Calibri" w:cs="Arial"/>
          <w:color w:val="000000"/>
          <w:sz w:val="24"/>
          <w:szCs w:val="24"/>
          <w:lang w:val="en-US"/>
        </w:rPr>
        <w:footnoteReference w:id="52"/>
      </w:r>
      <w:r w:rsidRPr="00FA7170">
        <w:rPr>
          <w:rFonts w:ascii="Calibri" w:eastAsia="Calibri" w:hAnsi="Calibri" w:cs="Arial"/>
          <w:color w:val="000000"/>
          <w:sz w:val="24"/>
          <w:szCs w:val="24"/>
          <w:lang w:val="en-US"/>
        </w:rPr>
        <w:t xml:space="preserve"> </w:t>
      </w:r>
      <w:r w:rsidR="00F260D0">
        <w:rPr>
          <w:rFonts w:ascii="Calibri" w:eastAsia="Calibri" w:hAnsi="Calibri" w:cs="Arial"/>
          <w:color w:val="000000"/>
          <w:sz w:val="24"/>
          <w:szCs w:val="24"/>
          <w:lang w:val="en-US"/>
        </w:rPr>
        <w:t>and o</w:t>
      </w:r>
      <w:r w:rsidRPr="00FA7170">
        <w:rPr>
          <w:rFonts w:ascii="Calibri" w:eastAsia="Calibri" w:hAnsi="Calibri" w:cs="Arial"/>
          <w:color w:val="000000"/>
          <w:sz w:val="24"/>
          <w:szCs w:val="24"/>
          <w:lang w:val="en-US"/>
        </w:rPr>
        <w:t xml:space="preserve">n both occasions the Philipps were steadfast in their instructions, </w:t>
      </w:r>
      <w:r w:rsidR="00F260D0">
        <w:rPr>
          <w:rFonts w:ascii="Calibri" w:eastAsia="Calibri" w:hAnsi="Calibri" w:cs="Arial"/>
          <w:color w:val="000000"/>
          <w:sz w:val="24"/>
          <w:szCs w:val="24"/>
          <w:lang w:val="en-US"/>
        </w:rPr>
        <w:t xml:space="preserve">and even sought to evade probing </w:t>
      </w:r>
      <w:r w:rsidRPr="00FA7170">
        <w:rPr>
          <w:rFonts w:ascii="Calibri" w:eastAsia="Calibri" w:hAnsi="Calibri" w:cs="Arial"/>
          <w:color w:val="000000"/>
          <w:sz w:val="24"/>
          <w:szCs w:val="24"/>
          <w:lang w:val="en-US"/>
        </w:rPr>
        <w:t>enquiries</w:t>
      </w:r>
      <w:r>
        <w:rPr>
          <w:rFonts w:ascii="Calibri" w:eastAsia="Calibri" w:hAnsi="Calibri" w:cs="Arial"/>
          <w:color w:val="000000"/>
          <w:sz w:val="24"/>
          <w:szCs w:val="24"/>
          <w:lang w:val="en-US"/>
        </w:rPr>
        <w:t xml:space="preserve"> </w:t>
      </w:r>
      <w:r w:rsidR="00F260D0">
        <w:rPr>
          <w:rFonts w:ascii="Calibri" w:eastAsia="Calibri" w:hAnsi="Calibri" w:cs="Arial"/>
          <w:color w:val="000000"/>
          <w:sz w:val="24"/>
          <w:szCs w:val="24"/>
          <w:lang w:val="en-US"/>
        </w:rPr>
        <w:t xml:space="preserve">by giving </w:t>
      </w:r>
      <w:r>
        <w:rPr>
          <w:rFonts w:ascii="Calibri" w:eastAsia="Calibri" w:hAnsi="Calibri" w:cs="Arial"/>
          <w:color w:val="000000"/>
          <w:sz w:val="24"/>
          <w:szCs w:val="24"/>
          <w:lang w:val="en-US"/>
        </w:rPr>
        <w:t>misleading</w:t>
      </w:r>
      <w:r w:rsidR="00F260D0">
        <w:rPr>
          <w:rFonts w:ascii="Calibri" w:eastAsia="Calibri" w:hAnsi="Calibri" w:cs="Arial"/>
          <w:color w:val="000000"/>
          <w:sz w:val="24"/>
          <w:szCs w:val="24"/>
          <w:lang w:val="en-US"/>
        </w:rPr>
        <w:t xml:space="preserve"> information</w:t>
      </w:r>
      <w:r w:rsidRPr="00FA7170">
        <w:rPr>
          <w:rFonts w:ascii="Calibri" w:eastAsia="Calibri" w:hAnsi="Calibri" w:cs="Arial"/>
          <w:color w:val="000000"/>
          <w:sz w:val="24"/>
          <w:szCs w:val="24"/>
          <w:lang w:val="en-US"/>
        </w:rPr>
        <w:t>.</w:t>
      </w:r>
      <w:r w:rsidR="00F260D0">
        <w:rPr>
          <w:rStyle w:val="FootnoteReference"/>
          <w:rFonts w:ascii="Calibri" w:eastAsia="Calibri" w:hAnsi="Calibri" w:cs="Arial"/>
          <w:color w:val="000000"/>
          <w:sz w:val="24"/>
          <w:szCs w:val="24"/>
          <w:lang w:val="en-US"/>
        </w:rPr>
        <w:footnoteReference w:id="53"/>
      </w:r>
      <w:r w:rsidRPr="00FA7170">
        <w:rPr>
          <w:rFonts w:ascii="Calibri" w:eastAsia="Calibri" w:hAnsi="Calibri" w:cs="Arial"/>
          <w:color w:val="000000"/>
          <w:sz w:val="24"/>
          <w:szCs w:val="24"/>
          <w:lang w:val="en-US"/>
        </w:rPr>
        <w:t xml:space="preserve"> </w:t>
      </w:r>
      <w:r w:rsidR="001451D8">
        <w:rPr>
          <w:rFonts w:ascii="Calibri" w:eastAsia="Calibri" w:hAnsi="Calibri" w:cs="Arial"/>
          <w:color w:val="000000"/>
          <w:sz w:val="24"/>
          <w:szCs w:val="24"/>
          <w:lang w:val="en-US"/>
        </w:rPr>
        <w:t>T</w:t>
      </w:r>
      <w:r>
        <w:rPr>
          <w:rFonts w:ascii="Calibri" w:eastAsia="Calibri" w:hAnsi="Calibri" w:cs="Arial"/>
          <w:color w:val="000000"/>
          <w:sz w:val="24"/>
          <w:szCs w:val="24"/>
          <w:lang w:val="en-US"/>
        </w:rPr>
        <w:t>hey had fallen ‘under the spell’ of the fraudsters</w:t>
      </w:r>
      <w:r w:rsidR="00C74A97">
        <w:rPr>
          <w:rFonts w:ascii="Calibri" w:eastAsia="Calibri" w:hAnsi="Calibri" w:cs="Arial"/>
          <w:color w:val="000000"/>
          <w:sz w:val="24"/>
          <w:szCs w:val="24"/>
          <w:lang w:val="en-US"/>
        </w:rPr>
        <w:t>.</w:t>
      </w:r>
      <w:r>
        <w:rPr>
          <w:rStyle w:val="FootnoteReference"/>
          <w:rFonts w:ascii="Calibri" w:eastAsia="Calibri" w:hAnsi="Calibri" w:cs="Arial"/>
          <w:color w:val="000000"/>
          <w:sz w:val="24"/>
          <w:szCs w:val="24"/>
          <w:lang w:val="en-US"/>
        </w:rPr>
        <w:footnoteReference w:id="54"/>
      </w:r>
      <w:r>
        <w:rPr>
          <w:rFonts w:ascii="Calibri" w:eastAsia="Calibri" w:hAnsi="Calibri" w:cs="Arial"/>
          <w:color w:val="000000"/>
          <w:sz w:val="24"/>
          <w:szCs w:val="24"/>
          <w:lang w:val="en-US"/>
        </w:rPr>
        <w:t xml:space="preserve"> On these facts, if a duty of care was owed by the bank, it was surely discharged. </w:t>
      </w:r>
    </w:p>
    <w:p w14:paraId="703FB7CC" w14:textId="3E88AA6B" w:rsidR="00906F00" w:rsidRDefault="00906F00" w:rsidP="00906F00">
      <w:pPr>
        <w:rPr>
          <w:rFonts w:ascii="Calibri" w:eastAsia="Calibri" w:hAnsi="Calibri" w:cs="Arial"/>
          <w:color w:val="000000"/>
          <w:sz w:val="24"/>
          <w:szCs w:val="24"/>
          <w:lang w:val="en-US"/>
        </w:rPr>
      </w:pPr>
      <w:r>
        <w:rPr>
          <w:rFonts w:ascii="Calibri" w:eastAsia="Calibri" w:hAnsi="Calibri" w:cs="Arial"/>
          <w:color w:val="000000"/>
          <w:sz w:val="24"/>
          <w:szCs w:val="24"/>
          <w:lang w:val="en-US"/>
        </w:rPr>
        <w:t>It was no doubt for this reason that the claimants argued</w:t>
      </w:r>
      <w:r w:rsidR="001451D8">
        <w:rPr>
          <w:rFonts w:ascii="Calibri" w:eastAsia="Calibri" w:hAnsi="Calibri" w:cs="Arial"/>
          <w:color w:val="000000"/>
          <w:sz w:val="24"/>
          <w:szCs w:val="24"/>
          <w:lang w:val="en-US"/>
        </w:rPr>
        <w:t>, to no avail,</w:t>
      </w:r>
      <w:r>
        <w:rPr>
          <w:rFonts w:ascii="Calibri" w:eastAsia="Calibri" w:hAnsi="Calibri" w:cs="Arial"/>
          <w:color w:val="000000"/>
          <w:sz w:val="24"/>
          <w:szCs w:val="24"/>
          <w:lang w:val="en-US"/>
        </w:rPr>
        <w:t xml:space="preserve"> that the bank’s duty required the implementation of quite specific anti-fraud measures, basically measures that might have broken the spell they were under. For example, ‘impactful’ warnings following investigation into identified scams</w:t>
      </w:r>
      <w:r w:rsidRPr="008C45EA">
        <w:rPr>
          <w:rFonts w:ascii="Calibri" w:eastAsia="Calibri" w:hAnsi="Calibri" w:cs="Arial"/>
          <w:color w:val="000000"/>
          <w:sz w:val="24"/>
          <w:szCs w:val="24"/>
          <w:lang w:val="en-US"/>
        </w:rPr>
        <w:t>, obtaining</w:t>
      </w:r>
      <w:r>
        <w:rPr>
          <w:rFonts w:ascii="Calibri" w:eastAsia="Calibri" w:hAnsi="Calibri" w:cs="Arial"/>
          <w:color w:val="000000"/>
          <w:sz w:val="24"/>
          <w:szCs w:val="24"/>
          <w:lang w:val="en-US"/>
        </w:rPr>
        <w:t xml:space="preserve"> </w:t>
      </w:r>
      <w:r w:rsidRPr="00E20518">
        <w:rPr>
          <w:rFonts w:ascii="Calibri" w:eastAsia="Calibri" w:hAnsi="Calibri" w:cs="Arial"/>
          <w:color w:val="000000"/>
          <w:sz w:val="24"/>
          <w:szCs w:val="24"/>
          <w:lang w:val="en-US"/>
        </w:rPr>
        <w:t xml:space="preserve">written confirmation </w:t>
      </w:r>
      <w:r>
        <w:rPr>
          <w:rFonts w:ascii="Calibri" w:eastAsia="Calibri" w:hAnsi="Calibri" w:cs="Arial"/>
          <w:color w:val="000000"/>
          <w:sz w:val="24"/>
          <w:szCs w:val="24"/>
          <w:lang w:val="en-US"/>
        </w:rPr>
        <w:t>of a transaction’s</w:t>
      </w:r>
      <w:r w:rsidRPr="00E20518">
        <w:rPr>
          <w:rFonts w:ascii="Calibri" w:eastAsia="Calibri" w:hAnsi="Calibri" w:cs="Arial"/>
          <w:color w:val="000000"/>
          <w:sz w:val="24"/>
          <w:szCs w:val="24"/>
          <w:lang w:val="en-US"/>
        </w:rPr>
        <w:t xml:space="preserve"> rationale</w:t>
      </w:r>
      <w:r>
        <w:rPr>
          <w:rFonts w:ascii="Calibri" w:eastAsia="Calibri" w:hAnsi="Calibri" w:cs="Arial"/>
          <w:color w:val="000000"/>
          <w:sz w:val="24"/>
          <w:szCs w:val="24"/>
          <w:lang w:val="en-US"/>
        </w:rPr>
        <w:t>, and asking the receiving bank to freeze the</w:t>
      </w:r>
      <w:r w:rsidRPr="00E20518">
        <w:rPr>
          <w:rFonts w:ascii="Calibri" w:eastAsia="Calibri" w:hAnsi="Calibri" w:cs="Arial"/>
          <w:color w:val="000000"/>
          <w:sz w:val="24"/>
          <w:szCs w:val="24"/>
          <w:lang w:val="en-US"/>
        </w:rPr>
        <w:t xml:space="preserve"> monies pending a review</w:t>
      </w:r>
      <w:r>
        <w:rPr>
          <w:rFonts w:ascii="Calibri" w:eastAsia="Calibri" w:hAnsi="Calibri" w:cs="Arial"/>
          <w:color w:val="000000"/>
          <w:sz w:val="24"/>
          <w:szCs w:val="24"/>
          <w:lang w:val="en-US"/>
        </w:rPr>
        <w:t>.</w:t>
      </w:r>
      <w:r>
        <w:rPr>
          <w:rStyle w:val="FootnoteReference"/>
          <w:rFonts w:ascii="Calibri" w:eastAsia="Calibri" w:hAnsi="Calibri" w:cs="Arial"/>
          <w:color w:val="000000"/>
          <w:sz w:val="24"/>
          <w:szCs w:val="24"/>
          <w:lang w:val="en-US"/>
        </w:rPr>
        <w:footnoteReference w:id="55"/>
      </w:r>
      <w:r>
        <w:rPr>
          <w:rFonts w:ascii="Calibri" w:eastAsia="Calibri" w:hAnsi="Calibri" w:cs="Arial"/>
          <w:color w:val="000000"/>
          <w:sz w:val="24"/>
          <w:szCs w:val="24"/>
          <w:lang w:val="en-US"/>
        </w:rPr>
        <w:t xml:space="preserve"> </w:t>
      </w:r>
    </w:p>
    <w:p w14:paraId="013AC71F" w14:textId="696E7B87" w:rsidR="00D817A3" w:rsidRPr="00CA2B64" w:rsidRDefault="00CA2B64" w:rsidP="00CA2B64">
      <w:pPr>
        <w:pStyle w:val="ListParagraph"/>
        <w:numPr>
          <w:ilvl w:val="0"/>
          <w:numId w:val="3"/>
        </w:numPr>
        <w:rPr>
          <w:rFonts w:ascii="Calibri" w:eastAsia="Calibri" w:hAnsi="Calibri" w:cs="Arial"/>
          <w:color w:val="000000"/>
          <w:sz w:val="24"/>
          <w:szCs w:val="24"/>
          <w:lang w:val="en-US"/>
        </w:rPr>
      </w:pPr>
      <w:r>
        <w:rPr>
          <w:rFonts w:ascii="Calibri" w:eastAsia="Calibri" w:hAnsi="Calibri" w:cs="Arial"/>
          <w:color w:val="000000"/>
          <w:sz w:val="24"/>
          <w:szCs w:val="24"/>
          <w:lang w:val="en-US"/>
        </w:rPr>
        <w:t xml:space="preserve">Arguments Against the </w:t>
      </w:r>
      <w:r w:rsidR="00AB24E0">
        <w:rPr>
          <w:rFonts w:ascii="Calibri" w:eastAsia="Calibri" w:hAnsi="Calibri" w:cs="Arial"/>
          <w:color w:val="000000"/>
          <w:sz w:val="24"/>
          <w:szCs w:val="24"/>
          <w:lang w:val="en-US"/>
        </w:rPr>
        <w:t xml:space="preserve">Position </w:t>
      </w:r>
      <w:r>
        <w:rPr>
          <w:rFonts w:ascii="Calibri" w:eastAsia="Calibri" w:hAnsi="Calibri" w:cs="Arial"/>
          <w:color w:val="000000"/>
          <w:sz w:val="24"/>
          <w:szCs w:val="24"/>
          <w:lang w:val="en-US"/>
        </w:rPr>
        <w:t xml:space="preserve">in </w:t>
      </w:r>
      <w:r>
        <w:rPr>
          <w:rFonts w:ascii="Calibri" w:eastAsia="Calibri" w:hAnsi="Calibri" w:cs="Arial"/>
          <w:i/>
          <w:iCs/>
          <w:color w:val="000000"/>
          <w:sz w:val="24"/>
          <w:szCs w:val="24"/>
          <w:lang w:val="en-US"/>
        </w:rPr>
        <w:t>Philipp</w:t>
      </w:r>
    </w:p>
    <w:p w14:paraId="1697B8FD" w14:textId="3BA587B3" w:rsidR="00CA2B64" w:rsidRDefault="00CA2B64" w:rsidP="00CA2B64">
      <w:pPr>
        <w:pStyle w:val="ListParagraph"/>
        <w:numPr>
          <w:ilvl w:val="1"/>
          <w:numId w:val="3"/>
        </w:numPr>
        <w:rPr>
          <w:rFonts w:ascii="Calibri" w:eastAsia="Calibri" w:hAnsi="Calibri" w:cs="Arial"/>
          <w:color w:val="000000"/>
          <w:sz w:val="24"/>
          <w:szCs w:val="24"/>
          <w:lang w:val="en-US"/>
        </w:rPr>
      </w:pPr>
      <w:r>
        <w:rPr>
          <w:rFonts w:ascii="Calibri" w:eastAsia="Calibri" w:hAnsi="Calibri" w:cs="Arial"/>
          <w:color w:val="000000"/>
          <w:sz w:val="24"/>
          <w:szCs w:val="24"/>
          <w:lang w:val="en-US"/>
        </w:rPr>
        <w:t xml:space="preserve">Inadequate Precedent </w:t>
      </w:r>
    </w:p>
    <w:p w14:paraId="38457F48" w14:textId="15707491" w:rsidR="008854F1" w:rsidRDefault="00E71012" w:rsidP="00D77138">
      <w:pPr>
        <w:rPr>
          <w:rFonts w:ascii="Calibri" w:eastAsia="Calibri" w:hAnsi="Calibri" w:cs="Arial"/>
          <w:color w:val="000000"/>
          <w:sz w:val="24"/>
          <w:szCs w:val="24"/>
        </w:rPr>
      </w:pPr>
      <w:r>
        <w:rPr>
          <w:rFonts w:ascii="Calibri" w:eastAsia="Calibri" w:hAnsi="Calibri" w:cs="Arial"/>
          <w:color w:val="000000"/>
          <w:sz w:val="24"/>
          <w:szCs w:val="24"/>
        </w:rPr>
        <w:t xml:space="preserve">In this section </w:t>
      </w:r>
      <w:r w:rsidR="00CA2B64">
        <w:rPr>
          <w:rFonts w:ascii="Calibri" w:eastAsia="Calibri" w:hAnsi="Calibri" w:cs="Arial"/>
          <w:color w:val="000000"/>
          <w:sz w:val="24"/>
          <w:szCs w:val="24"/>
        </w:rPr>
        <w:t xml:space="preserve">I highlight five important cases </w:t>
      </w:r>
      <w:r>
        <w:rPr>
          <w:rFonts w:ascii="Calibri" w:eastAsia="Calibri" w:hAnsi="Calibri" w:cs="Arial"/>
          <w:color w:val="000000"/>
          <w:sz w:val="24"/>
          <w:szCs w:val="24"/>
        </w:rPr>
        <w:t xml:space="preserve">which put </w:t>
      </w:r>
      <w:r>
        <w:rPr>
          <w:rFonts w:ascii="Calibri" w:eastAsia="Calibri" w:hAnsi="Calibri" w:cs="Arial"/>
          <w:i/>
          <w:iCs/>
          <w:color w:val="000000"/>
          <w:sz w:val="24"/>
          <w:szCs w:val="24"/>
        </w:rPr>
        <w:t xml:space="preserve">Philipp </w:t>
      </w:r>
      <w:r>
        <w:rPr>
          <w:rFonts w:ascii="Calibri" w:eastAsia="Calibri" w:hAnsi="Calibri" w:cs="Arial"/>
          <w:color w:val="000000"/>
          <w:sz w:val="24"/>
          <w:szCs w:val="24"/>
        </w:rPr>
        <w:t xml:space="preserve">in context and </w:t>
      </w:r>
      <w:r w:rsidR="00CA2B64">
        <w:rPr>
          <w:rFonts w:ascii="Calibri" w:eastAsia="Calibri" w:hAnsi="Calibri" w:cs="Arial"/>
          <w:color w:val="000000"/>
          <w:sz w:val="24"/>
          <w:szCs w:val="24"/>
        </w:rPr>
        <w:t xml:space="preserve">show that </w:t>
      </w:r>
      <w:r w:rsidR="00C11F0D">
        <w:rPr>
          <w:rFonts w:ascii="Calibri" w:eastAsia="Calibri" w:hAnsi="Calibri" w:cs="Arial"/>
          <w:color w:val="000000"/>
          <w:sz w:val="24"/>
          <w:szCs w:val="24"/>
        </w:rPr>
        <w:t xml:space="preserve">its stance, that the </w:t>
      </w:r>
      <w:r w:rsidR="00C11F0D" w:rsidRPr="00561368">
        <w:rPr>
          <w:rFonts w:ascii="Calibri" w:eastAsia="Calibri" w:hAnsi="Calibri" w:cs="Arial"/>
          <w:i/>
          <w:iCs/>
          <w:color w:val="000000"/>
          <w:sz w:val="24"/>
          <w:szCs w:val="24"/>
        </w:rPr>
        <w:t>Quincecare</w:t>
      </w:r>
      <w:r w:rsidR="00C11F0D">
        <w:rPr>
          <w:rFonts w:ascii="Calibri" w:eastAsia="Calibri" w:hAnsi="Calibri" w:cs="Arial"/>
          <w:color w:val="000000"/>
          <w:sz w:val="24"/>
          <w:szCs w:val="24"/>
        </w:rPr>
        <w:t xml:space="preserve"> duty protects only against rogue-agents,</w:t>
      </w:r>
      <w:r>
        <w:rPr>
          <w:rFonts w:ascii="Calibri" w:eastAsia="Calibri" w:hAnsi="Calibri" w:cs="Arial"/>
          <w:color w:val="000000"/>
          <w:sz w:val="24"/>
          <w:szCs w:val="24"/>
        </w:rPr>
        <w:t xml:space="preserve"> </w:t>
      </w:r>
      <w:r w:rsidR="00C11F0D">
        <w:rPr>
          <w:rFonts w:ascii="Calibri" w:eastAsia="Calibri" w:hAnsi="Calibri" w:cs="Arial"/>
          <w:color w:val="000000"/>
          <w:sz w:val="24"/>
          <w:szCs w:val="24"/>
        </w:rPr>
        <w:t xml:space="preserve">does not have strong </w:t>
      </w:r>
      <w:r w:rsidR="00561368">
        <w:rPr>
          <w:rFonts w:ascii="Calibri" w:eastAsia="Calibri" w:hAnsi="Calibri" w:cs="Arial"/>
          <w:color w:val="000000"/>
          <w:sz w:val="24"/>
          <w:szCs w:val="24"/>
        </w:rPr>
        <w:t xml:space="preserve">support. </w:t>
      </w:r>
      <w:r w:rsidR="00C11F0D">
        <w:rPr>
          <w:rFonts w:ascii="Calibri" w:eastAsia="Calibri" w:hAnsi="Calibri" w:cs="Arial"/>
          <w:color w:val="000000"/>
          <w:sz w:val="24"/>
          <w:szCs w:val="24"/>
        </w:rPr>
        <w:t>T</w:t>
      </w:r>
      <w:r w:rsidR="00307942">
        <w:rPr>
          <w:rFonts w:ascii="Calibri" w:eastAsia="Calibri" w:hAnsi="Calibri" w:cs="Arial"/>
          <w:color w:val="000000"/>
          <w:sz w:val="24"/>
          <w:szCs w:val="24"/>
        </w:rPr>
        <w:t xml:space="preserve">here is a tendency to see </w:t>
      </w:r>
      <w:r w:rsidR="00DC3DEB">
        <w:rPr>
          <w:rFonts w:ascii="Calibri" w:eastAsia="Calibri" w:hAnsi="Calibri" w:cs="Arial"/>
          <w:color w:val="000000"/>
          <w:sz w:val="24"/>
          <w:szCs w:val="24"/>
        </w:rPr>
        <w:t xml:space="preserve">the </w:t>
      </w:r>
      <w:r w:rsidR="001521EB">
        <w:rPr>
          <w:rFonts w:ascii="Calibri" w:eastAsia="Calibri" w:hAnsi="Calibri" w:cs="Arial"/>
          <w:i/>
          <w:iCs/>
          <w:color w:val="000000"/>
          <w:sz w:val="24"/>
          <w:szCs w:val="24"/>
        </w:rPr>
        <w:t>Quincecare</w:t>
      </w:r>
      <w:r w:rsidR="001521EB">
        <w:rPr>
          <w:rFonts w:ascii="Calibri" w:eastAsia="Calibri" w:hAnsi="Calibri" w:cs="Arial"/>
          <w:color w:val="000000"/>
          <w:sz w:val="24"/>
          <w:szCs w:val="24"/>
        </w:rPr>
        <w:t xml:space="preserve"> </w:t>
      </w:r>
      <w:r w:rsidR="00DC3DEB">
        <w:rPr>
          <w:rFonts w:ascii="Calibri" w:eastAsia="Calibri" w:hAnsi="Calibri" w:cs="Arial"/>
          <w:color w:val="000000"/>
          <w:sz w:val="24"/>
          <w:szCs w:val="24"/>
        </w:rPr>
        <w:t xml:space="preserve">decision </w:t>
      </w:r>
      <w:r w:rsidR="001521EB">
        <w:rPr>
          <w:rFonts w:ascii="Calibri" w:eastAsia="Calibri" w:hAnsi="Calibri" w:cs="Arial"/>
          <w:color w:val="000000"/>
          <w:sz w:val="24"/>
          <w:szCs w:val="24"/>
        </w:rPr>
        <w:t xml:space="preserve">as the source of </w:t>
      </w:r>
      <w:r w:rsidR="00307942">
        <w:rPr>
          <w:rFonts w:ascii="Calibri" w:eastAsia="Calibri" w:hAnsi="Calibri" w:cs="Arial"/>
          <w:color w:val="000000"/>
          <w:sz w:val="24"/>
          <w:szCs w:val="24"/>
        </w:rPr>
        <w:t xml:space="preserve">the bank’s duty of care </w:t>
      </w:r>
      <w:r w:rsidR="001521EB">
        <w:rPr>
          <w:rFonts w:ascii="Calibri" w:eastAsia="Calibri" w:hAnsi="Calibri" w:cs="Arial"/>
          <w:color w:val="000000"/>
          <w:sz w:val="24"/>
          <w:szCs w:val="24"/>
        </w:rPr>
        <w:t xml:space="preserve">in the payment context, </w:t>
      </w:r>
      <w:r w:rsidR="00C11F0D">
        <w:rPr>
          <w:rFonts w:ascii="Calibri" w:eastAsia="Calibri" w:hAnsi="Calibri" w:cs="Arial"/>
          <w:color w:val="000000"/>
          <w:sz w:val="24"/>
          <w:szCs w:val="24"/>
        </w:rPr>
        <w:t xml:space="preserve">but my discussion starts with </w:t>
      </w:r>
      <w:r w:rsidR="0051559A">
        <w:rPr>
          <w:rFonts w:ascii="Calibri" w:eastAsia="Calibri" w:hAnsi="Calibri" w:cs="Arial"/>
          <w:color w:val="000000"/>
          <w:sz w:val="24"/>
          <w:szCs w:val="24"/>
        </w:rPr>
        <w:t>t</w:t>
      </w:r>
      <w:r w:rsidR="00E8740A">
        <w:rPr>
          <w:rFonts w:ascii="Calibri" w:eastAsia="Calibri" w:hAnsi="Calibri" w:cs="Arial"/>
          <w:color w:val="000000"/>
          <w:sz w:val="24"/>
          <w:szCs w:val="24"/>
        </w:rPr>
        <w:t>wo</w:t>
      </w:r>
      <w:r w:rsidR="00C81EB5">
        <w:rPr>
          <w:rFonts w:ascii="Calibri" w:eastAsia="Calibri" w:hAnsi="Calibri" w:cs="Arial"/>
          <w:color w:val="000000"/>
          <w:sz w:val="24"/>
          <w:szCs w:val="24"/>
        </w:rPr>
        <w:t xml:space="preserve"> </w:t>
      </w:r>
      <w:r w:rsidR="00981A97">
        <w:rPr>
          <w:rFonts w:ascii="Calibri" w:eastAsia="Calibri" w:hAnsi="Calibri" w:cs="Arial"/>
          <w:color w:val="000000"/>
          <w:sz w:val="24"/>
          <w:szCs w:val="24"/>
        </w:rPr>
        <w:t>important</w:t>
      </w:r>
      <w:r w:rsidR="001521EB">
        <w:rPr>
          <w:rFonts w:ascii="Calibri" w:eastAsia="Calibri" w:hAnsi="Calibri" w:cs="Arial"/>
          <w:color w:val="000000"/>
          <w:sz w:val="24"/>
          <w:szCs w:val="24"/>
        </w:rPr>
        <w:t xml:space="preserve"> </w:t>
      </w:r>
      <w:r w:rsidR="00C11F0D">
        <w:rPr>
          <w:rFonts w:ascii="Calibri" w:eastAsia="Calibri" w:hAnsi="Calibri" w:cs="Arial"/>
          <w:color w:val="000000"/>
          <w:sz w:val="24"/>
          <w:szCs w:val="24"/>
        </w:rPr>
        <w:t xml:space="preserve">earlier </w:t>
      </w:r>
      <w:r w:rsidR="001521EB">
        <w:rPr>
          <w:rFonts w:ascii="Calibri" w:eastAsia="Calibri" w:hAnsi="Calibri" w:cs="Arial"/>
          <w:color w:val="000000"/>
          <w:sz w:val="24"/>
          <w:szCs w:val="24"/>
        </w:rPr>
        <w:t>cases</w:t>
      </w:r>
      <w:r w:rsidR="00981A97">
        <w:rPr>
          <w:rFonts w:ascii="Calibri" w:eastAsia="Calibri" w:hAnsi="Calibri" w:cs="Arial"/>
          <w:color w:val="000000"/>
          <w:sz w:val="24"/>
          <w:szCs w:val="24"/>
        </w:rPr>
        <w:t xml:space="preserve">, </w:t>
      </w:r>
      <w:r w:rsidR="00D77138" w:rsidRPr="00D77138">
        <w:rPr>
          <w:rFonts w:ascii="Calibri" w:eastAsia="Calibri" w:hAnsi="Calibri" w:cs="Arial"/>
          <w:i/>
          <w:color w:val="000000"/>
          <w:sz w:val="24"/>
          <w:szCs w:val="24"/>
        </w:rPr>
        <w:lastRenderedPageBreak/>
        <w:t>Selangor United Rubber Estates Ltd v Cradock (No 3)</w:t>
      </w:r>
      <w:r w:rsidR="00C81EB5">
        <w:rPr>
          <w:rFonts w:ascii="Calibri" w:eastAsia="Calibri" w:hAnsi="Calibri" w:cs="Arial"/>
          <w:iCs/>
          <w:color w:val="000000"/>
          <w:sz w:val="24"/>
          <w:szCs w:val="24"/>
        </w:rPr>
        <w:t xml:space="preserve"> (</w:t>
      </w:r>
      <w:r w:rsidR="00C81EB5" w:rsidRPr="00C81EB5">
        <w:rPr>
          <w:rFonts w:ascii="Calibri" w:eastAsia="Calibri" w:hAnsi="Calibri" w:cs="Arial"/>
          <w:i/>
          <w:color w:val="000000"/>
          <w:sz w:val="24"/>
          <w:szCs w:val="24"/>
        </w:rPr>
        <w:t>Selangor</w:t>
      </w:r>
      <w:r w:rsidR="00C81EB5">
        <w:rPr>
          <w:rFonts w:ascii="Calibri" w:eastAsia="Calibri" w:hAnsi="Calibri" w:cs="Arial"/>
          <w:iCs/>
          <w:color w:val="000000"/>
          <w:sz w:val="24"/>
          <w:szCs w:val="24"/>
        </w:rPr>
        <w:t>)</w:t>
      </w:r>
      <w:r w:rsidR="00FD164A">
        <w:rPr>
          <w:rFonts w:ascii="Calibri" w:eastAsia="Calibri" w:hAnsi="Calibri" w:cs="Arial"/>
          <w:iCs/>
          <w:color w:val="000000"/>
          <w:sz w:val="24"/>
          <w:szCs w:val="24"/>
        </w:rPr>
        <w:t>,</w:t>
      </w:r>
      <w:r w:rsidR="00D77138" w:rsidRPr="00D77138">
        <w:rPr>
          <w:rFonts w:ascii="Calibri" w:eastAsia="Calibri" w:hAnsi="Calibri" w:cs="Arial"/>
          <w:color w:val="000000"/>
          <w:sz w:val="24"/>
          <w:szCs w:val="24"/>
          <w:vertAlign w:val="superscript"/>
        </w:rPr>
        <w:footnoteReference w:id="56"/>
      </w:r>
      <w:r w:rsidR="00D77138" w:rsidRPr="00D77138">
        <w:rPr>
          <w:rFonts w:ascii="Calibri" w:eastAsia="Calibri" w:hAnsi="Calibri" w:cs="Arial"/>
          <w:color w:val="000000"/>
          <w:sz w:val="24"/>
          <w:szCs w:val="24"/>
        </w:rPr>
        <w:t xml:space="preserve"> </w:t>
      </w:r>
      <w:r w:rsidR="00C81EB5">
        <w:rPr>
          <w:rFonts w:ascii="Calibri" w:eastAsia="Calibri" w:hAnsi="Calibri" w:cs="Arial"/>
          <w:color w:val="000000"/>
          <w:sz w:val="24"/>
          <w:szCs w:val="24"/>
        </w:rPr>
        <w:t xml:space="preserve">and </w:t>
      </w:r>
      <w:r w:rsidR="00C81EB5" w:rsidRPr="00C81EB5">
        <w:rPr>
          <w:rFonts w:ascii="Calibri" w:eastAsia="Calibri" w:hAnsi="Calibri" w:cs="Arial"/>
          <w:i/>
          <w:color w:val="000000"/>
          <w:sz w:val="24"/>
          <w:szCs w:val="24"/>
        </w:rPr>
        <w:t>Karak Rubber Co v Burden</w:t>
      </w:r>
      <w:r w:rsidR="00C81EB5" w:rsidRPr="00C81EB5">
        <w:rPr>
          <w:rFonts w:ascii="Calibri" w:eastAsia="Calibri" w:hAnsi="Calibri" w:cs="Arial"/>
          <w:color w:val="000000"/>
          <w:sz w:val="24"/>
          <w:szCs w:val="24"/>
        </w:rPr>
        <w:t xml:space="preserve"> </w:t>
      </w:r>
      <w:r w:rsidR="00C81EB5">
        <w:rPr>
          <w:rFonts w:ascii="Calibri" w:eastAsia="Calibri" w:hAnsi="Calibri" w:cs="Arial"/>
          <w:color w:val="000000"/>
          <w:sz w:val="24"/>
          <w:szCs w:val="24"/>
        </w:rPr>
        <w:t>(</w:t>
      </w:r>
      <w:r w:rsidR="00C81EB5" w:rsidRPr="00C11F0D">
        <w:rPr>
          <w:rFonts w:ascii="Calibri" w:eastAsia="Calibri" w:hAnsi="Calibri" w:cs="Arial"/>
          <w:i/>
          <w:iCs/>
          <w:color w:val="000000"/>
          <w:sz w:val="24"/>
          <w:szCs w:val="24"/>
        </w:rPr>
        <w:t>Karak</w:t>
      </w:r>
      <w:r w:rsidR="00C81EB5" w:rsidRPr="00C11F0D">
        <w:rPr>
          <w:rFonts w:ascii="Calibri" w:eastAsia="Calibri" w:hAnsi="Calibri" w:cs="Arial"/>
          <w:color w:val="000000"/>
          <w:sz w:val="24"/>
          <w:szCs w:val="24"/>
        </w:rPr>
        <w:t>).</w:t>
      </w:r>
      <w:r w:rsidR="00C81EB5" w:rsidRPr="00C11F0D">
        <w:rPr>
          <w:rStyle w:val="FootnoteReference"/>
          <w:rFonts w:ascii="Calibri" w:eastAsia="Calibri" w:hAnsi="Calibri" w:cs="Arial"/>
          <w:color w:val="000000"/>
          <w:sz w:val="24"/>
          <w:szCs w:val="24"/>
        </w:rPr>
        <w:footnoteReference w:id="57"/>
      </w:r>
      <w:r w:rsidR="001E1D08" w:rsidRPr="00C11F0D">
        <w:rPr>
          <w:sz w:val="24"/>
          <w:szCs w:val="24"/>
        </w:rPr>
        <w:t xml:space="preserve"> </w:t>
      </w:r>
      <w:r w:rsidR="00C11F0D" w:rsidRPr="00C11F0D">
        <w:rPr>
          <w:sz w:val="24"/>
          <w:szCs w:val="24"/>
        </w:rPr>
        <w:t xml:space="preserve">Their facts are </w:t>
      </w:r>
      <w:r w:rsidR="00C11F0D" w:rsidRPr="00C11F0D">
        <w:rPr>
          <w:rFonts w:ascii="Calibri" w:eastAsia="Calibri" w:hAnsi="Calibri" w:cs="Arial"/>
          <w:color w:val="000000"/>
          <w:sz w:val="24"/>
          <w:szCs w:val="24"/>
        </w:rPr>
        <w:t>remarkably similar, and involved corporate customers who were induced to pay for the purchase</w:t>
      </w:r>
      <w:r w:rsidR="00C11F0D">
        <w:rPr>
          <w:rFonts w:ascii="Calibri" w:eastAsia="Calibri" w:hAnsi="Calibri" w:cs="Arial"/>
          <w:color w:val="000000"/>
          <w:sz w:val="24"/>
          <w:szCs w:val="24"/>
        </w:rPr>
        <w:t xml:space="preserve"> of their own shares by fraudsters. The two cases are important because neither court portrayed the bank’s duty of care as being limited to the misuse of signing powers by agents</w:t>
      </w:r>
      <w:r w:rsidR="00B45D74" w:rsidRPr="00B45D74">
        <w:rPr>
          <w:rFonts w:ascii="Calibri" w:eastAsia="Calibri" w:hAnsi="Calibri" w:cs="Arial"/>
          <w:color w:val="000000"/>
          <w:sz w:val="24"/>
          <w:szCs w:val="24"/>
        </w:rPr>
        <w:t xml:space="preserve"> </w:t>
      </w:r>
      <w:r w:rsidR="00B45D74">
        <w:rPr>
          <w:rFonts w:ascii="Calibri" w:eastAsia="Calibri" w:hAnsi="Calibri" w:cs="Arial"/>
          <w:color w:val="000000"/>
          <w:sz w:val="24"/>
          <w:szCs w:val="24"/>
        </w:rPr>
        <w:t xml:space="preserve">although </w:t>
      </w:r>
      <w:r w:rsidR="00B45D74">
        <w:rPr>
          <w:rFonts w:ascii="Calibri" w:eastAsia="Calibri" w:hAnsi="Calibri" w:cs="Arial"/>
          <w:color w:val="000000"/>
          <w:sz w:val="24"/>
          <w:szCs w:val="24"/>
        </w:rPr>
        <w:t>that context was expressly noted</w:t>
      </w:r>
      <w:r w:rsidR="00B45D74">
        <w:rPr>
          <w:rFonts w:ascii="Calibri" w:eastAsia="Calibri" w:hAnsi="Calibri" w:cs="Arial"/>
          <w:color w:val="000000"/>
          <w:sz w:val="24"/>
          <w:szCs w:val="24"/>
        </w:rPr>
        <w:t xml:space="preserve"> as being a paradigm scenario</w:t>
      </w:r>
      <w:r w:rsidR="00B45D74" w:rsidRPr="00AB24E0">
        <w:rPr>
          <w:rFonts w:ascii="Calibri" w:eastAsia="Calibri" w:hAnsi="Calibri" w:cs="Arial"/>
          <w:color w:val="000000"/>
          <w:sz w:val="24"/>
          <w:szCs w:val="24"/>
        </w:rPr>
        <w:t>.</w:t>
      </w:r>
      <w:r w:rsidR="00B45D74" w:rsidRPr="00AB24E0">
        <w:rPr>
          <w:rStyle w:val="FootnoteReference"/>
          <w:rFonts w:ascii="Calibri" w:eastAsia="Calibri" w:hAnsi="Calibri" w:cs="Arial"/>
          <w:color w:val="000000"/>
          <w:sz w:val="24"/>
          <w:szCs w:val="24"/>
        </w:rPr>
        <w:footnoteReference w:id="58"/>
      </w:r>
      <w:r w:rsidR="00B45D74">
        <w:rPr>
          <w:rFonts w:ascii="Calibri" w:eastAsia="Calibri" w:hAnsi="Calibri" w:cs="Arial"/>
          <w:color w:val="000000"/>
          <w:sz w:val="24"/>
          <w:szCs w:val="24"/>
        </w:rPr>
        <w:t xml:space="preserve"> In </w:t>
      </w:r>
      <w:r w:rsidR="00B45D74">
        <w:rPr>
          <w:rFonts w:ascii="Calibri" w:eastAsia="Calibri" w:hAnsi="Calibri" w:cs="Arial"/>
          <w:i/>
          <w:iCs/>
          <w:color w:val="000000"/>
          <w:sz w:val="24"/>
          <w:szCs w:val="24"/>
        </w:rPr>
        <w:t>Selangor</w:t>
      </w:r>
      <w:r w:rsidR="00C11F0D">
        <w:rPr>
          <w:rFonts w:ascii="Calibri" w:eastAsia="Calibri" w:hAnsi="Calibri" w:cs="Arial"/>
          <w:color w:val="000000"/>
          <w:sz w:val="24"/>
          <w:szCs w:val="24"/>
        </w:rPr>
        <w:t xml:space="preserve">, </w:t>
      </w:r>
      <w:r w:rsidR="00B45D74">
        <w:rPr>
          <w:rFonts w:ascii="Calibri" w:eastAsia="Calibri" w:hAnsi="Calibri" w:cs="Arial"/>
          <w:color w:val="000000"/>
          <w:sz w:val="24"/>
          <w:szCs w:val="24"/>
        </w:rPr>
        <w:t xml:space="preserve">the authorisation was in fact signed without impropriety by the company’s </w:t>
      </w:r>
      <w:r w:rsidR="00E104DA">
        <w:rPr>
          <w:rFonts w:ascii="Calibri" w:eastAsia="Calibri" w:hAnsi="Calibri" w:cs="Arial"/>
          <w:color w:val="000000"/>
          <w:sz w:val="24"/>
          <w:szCs w:val="24"/>
        </w:rPr>
        <w:t xml:space="preserve">longstanding </w:t>
      </w:r>
      <w:r w:rsidR="00B45D74">
        <w:rPr>
          <w:rFonts w:ascii="Calibri" w:eastAsia="Calibri" w:hAnsi="Calibri" w:cs="Arial"/>
          <w:color w:val="000000"/>
          <w:sz w:val="24"/>
          <w:szCs w:val="24"/>
        </w:rPr>
        <w:t>directors who were duped by the scammers.</w:t>
      </w:r>
    </w:p>
    <w:p w14:paraId="6C873FD4" w14:textId="77777777" w:rsidR="00E104DA" w:rsidRDefault="004421BF" w:rsidP="00D77138">
      <w:pPr>
        <w:rPr>
          <w:rFonts w:ascii="Calibri" w:eastAsia="Calibri" w:hAnsi="Calibri" w:cs="Arial"/>
          <w:color w:val="000000"/>
          <w:sz w:val="24"/>
          <w:szCs w:val="24"/>
          <w:lang w:val="en-US"/>
        </w:rPr>
      </w:pPr>
      <w:r>
        <w:rPr>
          <w:rFonts w:ascii="Calibri" w:eastAsia="Calibri" w:hAnsi="Calibri" w:cs="Arial"/>
          <w:color w:val="000000"/>
          <w:sz w:val="24"/>
          <w:szCs w:val="24"/>
        </w:rPr>
        <w:t xml:space="preserve">In </w:t>
      </w:r>
      <w:r w:rsidR="00BE5A53">
        <w:rPr>
          <w:rFonts w:ascii="Calibri" w:eastAsia="Calibri" w:hAnsi="Calibri" w:cs="Arial"/>
          <w:i/>
          <w:iCs/>
          <w:color w:val="000000"/>
          <w:sz w:val="24"/>
          <w:szCs w:val="24"/>
        </w:rPr>
        <w:t>Selangor</w:t>
      </w:r>
      <w:r w:rsidR="003C7471">
        <w:rPr>
          <w:rFonts w:ascii="Calibri" w:eastAsia="Calibri" w:hAnsi="Calibri" w:cs="Arial"/>
          <w:color w:val="000000"/>
          <w:sz w:val="24"/>
          <w:szCs w:val="24"/>
        </w:rPr>
        <w:t xml:space="preserve">, </w:t>
      </w:r>
      <w:r>
        <w:rPr>
          <w:rFonts w:ascii="Calibri" w:eastAsia="Calibri" w:hAnsi="Calibri" w:cs="Arial"/>
          <w:color w:val="000000"/>
          <w:sz w:val="24"/>
          <w:szCs w:val="24"/>
        </w:rPr>
        <w:t xml:space="preserve">Ungoed-Thomas J </w:t>
      </w:r>
      <w:r w:rsidR="009E0D4E">
        <w:rPr>
          <w:rFonts w:ascii="Calibri" w:eastAsia="Calibri" w:hAnsi="Calibri" w:cs="Arial"/>
          <w:color w:val="000000"/>
          <w:sz w:val="24"/>
          <w:szCs w:val="24"/>
        </w:rPr>
        <w:t xml:space="preserve">reviewed the case law and confirmed </w:t>
      </w:r>
      <w:r w:rsidR="008740B7">
        <w:rPr>
          <w:rFonts w:ascii="Calibri" w:eastAsia="Calibri" w:hAnsi="Calibri" w:cs="Arial"/>
          <w:color w:val="000000"/>
          <w:sz w:val="24"/>
          <w:szCs w:val="24"/>
          <w:lang w:val="en-US"/>
        </w:rPr>
        <w:t xml:space="preserve">that </w:t>
      </w:r>
      <w:r w:rsidR="0075269C">
        <w:rPr>
          <w:rFonts w:ascii="Calibri" w:eastAsia="Calibri" w:hAnsi="Calibri" w:cs="Arial"/>
          <w:color w:val="000000"/>
          <w:sz w:val="24"/>
          <w:szCs w:val="24"/>
          <w:lang w:val="en-US"/>
        </w:rPr>
        <w:t xml:space="preserve">a bank owed its customer a duty of care in the conduct of the bank account, and that </w:t>
      </w:r>
      <w:r w:rsidR="008740B7">
        <w:rPr>
          <w:rFonts w:ascii="Calibri" w:eastAsia="Calibri" w:hAnsi="Calibri" w:cs="Arial"/>
          <w:color w:val="000000"/>
          <w:sz w:val="24"/>
          <w:szCs w:val="24"/>
          <w:lang w:val="en-US"/>
        </w:rPr>
        <w:t>the ‘</w:t>
      </w:r>
      <w:r w:rsidR="008740B7" w:rsidRPr="001F78B1">
        <w:rPr>
          <w:rFonts w:ascii="Calibri" w:eastAsia="Calibri" w:hAnsi="Calibri" w:cs="Arial"/>
          <w:color w:val="000000"/>
          <w:sz w:val="24"/>
          <w:szCs w:val="24"/>
          <w:lang w:val="en-US"/>
        </w:rPr>
        <w:t>duty may in the circumstances require that the bank should make inquiries before acting and for that purpose to postpone honouring the customer's cheque</w:t>
      </w:r>
      <w:r w:rsidR="008740B7">
        <w:rPr>
          <w:rFonts w:ascii="Calibri" w:eastAsia="Calibri" w:hAnsi="Calibri" w:cs="Arial"/>
          <w:color w:val="000000"/>
          <w:sz w:val="24"/>
          <w:szCs w:val="24"/>
          <w:lang w:val="en-US"/>
        </w:rPr>
        <w:t>’.</w:t>
      </w:r>
      <w:r w:rsidR="008740B7">
        <w:rPr>
          <w:rStyle w:val="FootnoteReference"/>
          <w:rFonts w:ascii="Calibri" w:eastAsia="Calibri" w:hAnsi="Calibri" w:cs="Arial"/>
          <w:color w:val="000000"/>
          <w:sz w:val="24"/>
          <w:szCs w:val="24"/>
          <w:lang w:val="en-US"/>
        </w:rPr>
        <w:footnoteReference w:id="59"/>
      </w:r>
      <w:r>
        <w:rPr>
          <w:rFonts w:ascii="Calibri" w:eastAsia="Calibri" w:hAnsi="Calibri" w:cs="Arial"/>
          <w:color w:val="000000"/>
          <w:sz w:val="24"/>
          <w:szCs w:val="24"/>
          <w:lang w:val="en-US"/>
        </w:rPr>
        <w:t xml:space="preserve"> </w:t>
      </w:r>
      <w:r w:rsidR="00903E06">
        <w:rPr>
          <w:rFonts w:ascii="Calibri" w:eastAsia="Calibri" w:hAnsi="Calibri" w:cs="Arial"/>
          <w:color w:val="000000"/>
          <w:sz w:val="24"/>
          <w:szCs w:val="24"/>
          <w:lang w:val="en-US"/>
        </w:rPr>
        <w:t>Further support for the broad scope of the bank’s duty of care, was Ungoed-Thomas’s statement that th</w:t>
      </w:r>
      <w:r w:rsidR="009E36A9">
        <w:rPr>
          <w:rFonts w:ascii="Calibri" w:eastAsia="Calibri" w:hAnsi="Calibri" w:cs="Arial"/>
          <w:color w:val="000000"/>
          <w:sz w:val="24"/>
          <w:szCs w:val="24"/>
          <w:lang w:val="en-US"/>
        </w:rPr>
        <w:t>e</w:t>
      </w:r>
      <w:r w:rsidR="00903E06">
        <w:rPr>
          <w:rFonts w:ascii="Calibri" w:eastAsia="Calibri" w:hAnsi="Calibri" w:cs="Arial"/>
          <w:color w:val="000000"/>
          <w:sz w:val="24"/>
          <w:szCs w:val="24"/>
          <w:lang w:val="en-US"/>
        </w:rPr>
        <w:t xml:space="preserve"> duty was</w:t>
      </w:r>
      <w:r w:rsidR="008854F1">
        <w:rPr>
          <w:rFonts w:ascii="Calibri" w:eastAsia="Calibri" w:hAnsi="Calibri" w:cs="Arial"/>
          <w:color w:val="000000"/>
          <w:sz w:val="24"/>
          <w:szCs w:val="24"/>
          <w:lang w:val="en-US"/>
        </w:rPr>
        <w:t xml:space="preserve"> </w:t>
      </w:r>
      <w:r w:rsidR="008854F1">
        <w:rPr>
          <w:rFonts w:ascii="Calibri" w:eastAsia="Calibri" w:hAnsi="Calibri" w:cs="Arial"/>
          <w:color w:val="000000"/>
          <w:sz w:val="24"/>
          <w:szCs w:val="24"/>
        </w:rPr>
        <w:t>not ‘</w:t>
      </w:r>
      <w:r w:rsidR="00325F33" w:rsidRPr="00325F33">
        <w:rPr>
          <w:rFonts w:ascii="Calibri" w:eastAsia="Calibri" w:hAnsi="Calibri" w:cs="Arial"/>
          <w:color w:val="000000"/>
          <w:sz w:val="24"/>
          <w:szCs w:val="24"/>
        </w:rPr>
        <w:t xml:space="preserve">a pronouncement for banks, </w:t>
      </w:r>
      <w:r w:rsidR="00E43588">
        <w:rPr>
          <w:rFonts w:ascii="Calibri" w:eastAsia="Calibri" w:hAnsi="Calibri" w:cs="Arial"/>
          <w:color w:val="000000"/>
          <w:sz w:val="24"/>
          <w:szCs w:val="24"/>
        </w:rPr>
        <w:t>…</w:t>
      </w:r>
      <w:r w:rsidR="00325F33" w:rsidRPr="00325F33">
        <w:rPr>
          <w:rFonts w:ascii="Calibri" w:eastAsia="Calibri" w:hAnsi="Calibri" w:cs="Arial"/>
          <w:color w:val="000000"/>
          <w:sz w:val="24"/>
          <w:szCs w:val="24"/>
        </w:rPr>
        <w:t>, of some peculiar standard of care; but the application to a bank of the approach, tests, and standard of care prevailing generally in the law of contract.</w:t>
      </w:r>
      <w:r w:rsidR="008854F1">
        <w:rPr>
          <w:rFonts w:ascii="Calibri" w:eastAsia="Calibri" w:hAnsi="Calibri" w:cs="Arial"/>
          <w:color w:val="000000"/>
          <w:sz w:val="24"/>
          <w:szCs w:val="24"/>
        </w:rPr>
        <w:t>’</w:t>
      </w:r>
      <w:r w:rsidR="008854F1">
        <w:rPr>
          <w:rStyle w:val="FootnoteReference"/>
          <w:rFonts w:ascii="Calibri" w:eastAsia="Calibri" w:hAnsi="Calibri" w:cs="Arial"/>
          <w:color w:val="000000"/>
          <w:sz w:val="24"/>
          <w:szCs w:val="24"/>
        </w:rPr>
        <w:footnoteReference w:id="60"/>
      </w:r>
      <w:r w:rsidR="00960D81">
        <w:rPr>
          <w:rFonts w:ascii="Calibri" w:eastAsia="Calibri" w:hAnsi="Calibri" w:cs="Arial"/>
          <w:color w:val="000000"/>
          <w:sz w:val="24"/>
          <w:szCs w:val="24"/>
        </w:rPr>
        <w:t xml:space="preserve"> </w:t>
      </w:r>
      <w:r w:rsidR="003760F4">
        <w:rPr>
          <w:rFonts w:ascii="Calibri" w:eastAsia="Calibri" w:hAnsi="Calibri" w:cs="Arial"/>
          <w:color w:val="000000"/>
          <w:sz w:val="24"/>
          <w:szCs w:val="24"/>
        </w:rPr>
        <w:t xml:space="preserve">In addition, </w:t>
      </w:r>
      <w:r>
        <w:rPr>
          <w:rFonts w:ascii="Calibri" w:eastAsia="Calibri" w:hAnsi="Calibri" w:cs="Arial"/>
          <w:color w:val="000000"/>
          <w:sz w:val="24"/>
          <w:szCs w:val="24"/>
        </w:rPr>
        <w:t xml:space="preserve">the supporting case law relied on </w:t>
      </w:r>
      <w:r w:rsidR="00903E06">
        <w:rPr>
          <w:rFonts w:ascii="Calibri" w:eastAsia="Calibri" w:hAnsi="Calibri" w:cs="Arial"/>
          <w:color w:val="000000"/>
          <w:sz w:val="24"/>
          <w:szCs w:val="24"/>
        </w:rPr>
        <w:t xml:space="preserve">by Ungoed-Thomas J </w:t>
      </w:r>
      <w:r>
        <w:rPr>
          <w:rFonts w:ascii="Calibri" w:eastAsia="Calibri" w:hAnsi="Calibri" w:cs="Arial"/>
          <w:color w:val="000000"/>
          <w:sz w:val="24"/>
          <w:szCs w:val="24"/>
          <w:lang w:val="en-US"/>
        </w:rPr>
        <w:t>involved a customer acting without an agent</w:t>
      </w:r>
      <w:r w:rsidR="00903E06">
        <w:rPr>
          <w:rFonts w:ascii="Calibri" w:eastAsia="Calibri" w:hAnsi="Calibri" w:cs="Arial"/>
          <w:color w:val="000000"/>
          <w:sz w:val="24"/>
          <w:szCs w:val="24"/>
          <w:lang w:val="en-US"/>
        </w:rPr>
        <w:t>.</w:t>
      </w:r>
      <w:r w:rsidR="0049505E">
        <w:rPr>
          <w:rStyle w:val="FootnoteReference"/>
          <w:rFonts w:ascii="Calibri" w:eastAsia="Calibri" w:hAnsi="Calibri" w:cs="Arial"/>
          <w:color w:val="000000"/>
          <w:sz w:val="24"/>
          <w:szCs w:val="24"/>
          <w:lang w:val="en-US"/>
        </w:rPr>
        <w:footnoteReference w:id="61"/>
      </w:r>
      <w:r w:rsidR="00903E06">
        <w:rPr>
          <w:rFonts w:ascii="Calibri" w:eastAsia="Calibri" w:hAnsi="Calibri" w:cs="Arial"/>
          <w:color w:val="000000"/>
          <w:sz w:val="24"/>
          <w:szCs w:val="24"/>
          <w:lang w:val="en-US"/>
        </w:rPr>
        <w:t xml:space="preserve"> </w:t>
      </w:r>
    </w:p>
    <w:p w14:paraId="76D747B7" w14:textId="22853D24" w:rsidR="000372ED" w:rsidRDefault="0049505E" w:rsidP="00D77138">
      <w:pPr>
        <w:rPr>
          <w:rFonts w:ascii="Calibri" w:eastAsia="Calibri" w:hAnsi="Calibri" w:cs="Arial"/>
          <w:color w:val="000000"/>
          <w:sz w:val="24"/>
          <w:szCs w:val="24"/>
        </w:rPr>
      </w:pPr>
      <w:r>
        <w:rPr>
          <w:rFonts w:ascii="Calibri" w:eastAsia="Calibri" w:hAnsi="Calibri" w:cs="Arial"/>
          <w:color w:val="000000"/>
          <w:sz w:val="24"/>
          <w:szCs w:val="24"/>
        </w:rPr>
        <w:t>I</w:t>
      </w:r>
      <w:r w:rsidR="000372ED">
        <w:rPr>
          <w:rFonts w:ascii="Calibri" w:eastAsia="Calibri" w:hAnsi="Calibri" w:cs="Arial"/>
          <w:color w:val="000000"/>
          <w:sz w:val="24"/>
          <w:szCs w:val="24"/>
        </w:rPr>
        <w:t xml:space="preserve">n </w:t>
      </w:r>
      <w:r w:rsidR="000372ED">
        <w:rPr>
          <w:rFonts w:ascii="Calibri" w:eastAsia="Calibri" w:hAnsi="Calibri" w:cs="Arial"/>
          <w:i/>
          <w:iCs/>
          <w:color w:val="000000"/>
          <w:sz w:val="24"/>
          <w:szCs w:val="24"/>
        </w:rPr>
        <w:t>Karak</w:t>
      </w:r>
      <w:r w:rsidR="000372ED">
        <w:rPr>
          <w:rFonts w:ascii="Calibri" w:eastAsia="Calibri" w:hAnsi="Calibri" w:cs="Arial"/>
          <w:color w:val="000000"/>
          <w:sz w:val="24"/>
          <w:szCs w:val="24"/>
        </w:rPr>
        <w:t xml:space="preserve">, Brightman J </w:t>
      </w:r>
      <w:r w:rsidR="003760F4">
        <w:rPr>
          <w:rFonts w:ascii="Calibri" w:eastAsia="Calibri" w:hAnsi="Calibri" w:cs="Arial"/>
          <w:color w:val="000000"/>
          <w:sz w:val="24"/>
          <w:szCs w:val="24"/>
        </w:rPr>
        <w:t>addressed</w:t>
      </w:r>
      <w:r w:rsidR="00903E06">
        <w:rPr>
          <w:rFonts w:ascii="Calibri" w:eastAsia="Calibri" w:hAnsi="Calibri" w:cs="Arial"/>
          <w:color w:val="000000"/>
          <w:sz w:val="24"/>
          <w:szCs w:val="24"/>
        </w:rPr>
        <w:t xml:space="preserve"> strenuous argument </w:t>
      </w:r>
      <w:r w:rsidR="00574C55">
        <w:rPr>
          <w:rFonts w:ascii="Calibri" w:eastAsia="Calibri" w:hAnsi="Calibri" w:cs="Arial"/>
          <w:color w:val="000000"/>
          <w:sz w:val="24"/>
          <w:szCs w:val="24"/>
        </w:rPr>
        <w:t xml:space="preserve">against </w:t>
      </w:r>
      <w:bookmarkStart w:id="24" w:name="_Hlk75015009"/>
      <w:r w:rsidR="00E43588">
        <w:rPr>
          <w:rFonts w:ascii="Calibri" w:eastAsia="Calibri" w:hAnsi="Calibri" w:cs="Arial"/>
          <w:color w:val="000000"/>
          <w:sz w:val="24"/>
          <w:szCs w:val="24"/>
        </w:rPr>
        <w:t xml:space="preserve">the ruling in </w:t>
      </w:r>
      <w:r w:rsidR="000372ED">
        <w:rPr>
          <w:rFonts w:ascii="Calibri" w:eastAsia="Calibri" w:hAnsi="Calibri" w:cs="Arial"/>
          <w:i/>
          <w:iCs/>
          <w:color w:val="000000"/>
          <w:sz w:val="24"/>
          <w:szCs w:val="24"/>
        </w:rPr>
        <w:t>Selangor</w:t>
      </w:r>
      <w:bookmarkEnd w:id="24"/>
      <w:r w:rsidR="00E43588">
        <w:rPr>
          <w:rFonts w:ascii="Calibri" w:eastAsia="Calibri" w:hAnsi="Calibri" w:cs="Arial"/>
          <w:color w:val="000000"/>
          <w:sz w:val="24"/>
          <w:szCs w:val="24"/>
        </w:rPr>
        <w:t xml:space="preserve"> as follows</w:t>
      </w:r>
      <w:r w:rsidR="000372ED">
        <w:rPr>
          <w:rFonts w:ascii="Calibri" w:eastAsia="Calibri" w:hAnsi="Calibri" w:cs="Arial"/>
          <w:color w:val="000000"/>
          <w:sz w:val="24"/>
          <w:szCs w:val="24"/>
        </w:rPr>
        <w:t>:</w:t>
      </w:r>
      <w:r w:rsidR="000372ED">
        <w:rPr>
          <w:rStyle w:val="FootnoteReference"/>
          <w:rFonts w:ascii="Calibri" w:eastAsia="Calibri" w:hAnsi="Calibri" w:cs="Arial"/>
          <w:color w:val="000000"/>
          <w:sz w:val="24"/>
          <w:szCs w:val="24"/>
        </w:rPr>
        <w:footnoteReference w:id="62"/>
      </w:r>
      <w:r w:rsidR="000372ED">
        <w:rPr>
          <w:rFonts w:ascii="Calibri" w:eastAsia="Calibri" w:hAnsi="Calibri" w:cs="Arial"/>
          <w:color w:val="000000"/>
          <w:sz w:val="24"/>
          <w:szCs w:val="24"/>
        </w:rPr>
        <w:t xml:space="preserve"> </w:t>
      </w:r>
    </w:p>
    <w:p w14:paraId="5F8AB7D9" w14:textId="316B2781" w:rsidR="00325F33" w:rsidRPr="000372ED" w:rsidRDefault="000372ED" w:rsidP="000372ED">
      <w:pPr>
        <w:ind w:left="720"/>
        <w:rPr>
          <w:rFonts w:ascii="Calibri" w:eastAsia="Calibri" w:hAnsi="Calibri" w:cs="Arial"/>
          <w:color w:val="000000"/>
          <w:sz w:val="24"/>
          <w:szCs w:val="24"/>
        </w:rPr>
      </w:pPr>
      <w:r w:rsidRPr="000372ED">
        <w:rPr>
          <w:rFonts w:ascii="Calibri" w:eastAsia="Calibri" w:hAnsi="Calibri" w:cs="Arial"/>
          <w:color w:val="000000"/>
          <w:sz w:val="24"/>
          <w:szCs w:val="24"/>
        </w:rPr>
        <w:t>Once a bank disclaims the untenable position of being in all cases an automatic cash dispenser, whatever the circumstances, there is no rational stopping-place short of a contractual duty to exercise such care and skill as would be exercised by a reasonable banker in similar circumstances.</w:t>
      </w:r>
    </w:p>
    <w:p w14:paraId="6DBABD6F" w14:textId="27672B48" w:rsidR="00E05A49" w:rsidRDefault="009800D1" w:rsidP="00D77138">
      <w:pPr>
        <w:rPr>
          <w:rFonts w:ascii="Calibri" w:eastAsia="Calibri" w:hAnsi="Calibri" w:cs="Arial"/>
          <w:color w:val="000000"/>
          <w:sz w:val="24"/>
          <w:szCs w:val="24"/>
        </w:rPr>
      </w:pPr>
      <w:r>
        <w:rPr>
          <w:rFonts w:ascii="Calibri" w:eastAsia="Calibri" w:hAnsi="Calibri" w:cs="Arial"/>
          <w:color w:val="000000"/>
          <w:sz w:val="24"/>
          <w:szCs w:val="24"/>
        </w:rPr>
        <w:t xml:space="preserve">The next </w:t>
      </w:r>
      <w:r w:rsidR="003123A8">
        <w:rPr>
          <w:rFonts w:ascii="Calibri" w:eastAsia="Calibri" w:hAnsi="Calibri" w:cs="Arial"/>
          <w:color w:val="000000"/>
          <w:sz w:val="24"/>
          <w:szCs w:val="24"/>
        </w:rPr>
        <w:t xml:space="preserve">two </w:t>
      </w:r>
      <w:r>
        <w:rPr>
          <w:rFonts w:ascii="Calibri" w:eastAsia="Calibri" w:hAnsi="Calibri" w:cs="Arial"/>
          <w:color w:val="000000"/>
          <w:sz w:val="24"/>
          <w:szCs w:val="24"/>
        </w:rPr>
        <w:t>case</w:t>
      </w:r>
      <w:r w:rsidR="003123A8">
        <w:rPr>
          <w:rFonts w:ascii="Calibri" w:eastAsia="Calibri" w:hAnsi="Calibri" w:cs="Arial"/>
          <w:color w:val="000000"/>
          <w:sz w:val="24"/>
          <w:szCs w:val="24"/>
        </w:rPr>
        <w:t>s</w:t>
      </w:r>
      <w:r>
        <w:rPr>
          <w:rFonts w:ascii="Calibri" w:eastAsia="Calibri" w:hAnsi="Calibri" w:cs="Arial"/>
          <w:color w:val="000000"/>
          <w:sz w:val="24"/>
          <w:szCs w:val="24"/>
        </w:rPr>
        <w:t xml:space="preserve"> of note </w:t>
      </w:r>
      <w:r w:rsidR="003123A8">
        <w:rPr>
          <w:rFonts w:ascii="Calibri" w:eastAsia="Calibri" w:hAnsi="Calibri" w:cs="Arial"/>
          <w:color w:val="000000"/>
          <w:sz w:val="24"/>
          <w:szCs w:val="24"/>
        </w:rPr>
        <w:t xml:space="preserve">are </w:t>
      </w:r>
      <w:r w:rsidR="003123A8">
        <w:rPr>
          <w:rFonts w:ascii="Calibri" w:eastAsia="Calibri" w:hAnsi="Calibri" w:cs="Arial"/>
          <w:i/>
          <w:iCs/>
          <w:color w:val="000000"/>
          <w:sz w:val="24"/>
          <w:szCs w:val="24"/>
        </w:rPr>
        <w:t>Quincecare</w:t>
      </w:r>
      <w:r w:rsidR="009F5390">
        <w:rPr>
          <w:rFonts w:ascii="Calibri" w:eastAsia="Calibri" w:hAnsi="Calibri" w:cs="Arial"/>
          <w:color w:val="000000"/>
          <w:sz w:val="24"/>
          <w:szCs w:val="24"/>
        </w:rPr>
        <w:t xml:space="preserve"> and</w:t>
      </w:r>
      <w:r w:rsidR="003123A8">
        <w:rPr>
          <w:rFonts w:ascii="Calibri" w:eastAsia="Calibri" w:hAnsi="Calibri" w:cs="Arial"/>
          <w:color w:val="000000"/>
          <w:sz w:val="24"/>
          <w:szCs w:val="24"/>
        </w:rPr>
        <w:t xml:space="preserve"> </w:t>
      </w:r>
      <w:r w:rsidR="00AF01B9">
        <w:rPr>
          <w:sz w:val="24"/>
          <w:szCs w:val="24"/>
        </w:rPr>
        <w:t xml:space="preserve">the Court of Appeal </w:t>
      </w:r>
      <w:r w:rsidR="003760F4">
        <w:rPr>
          <w:sz w:val="24"/>
          <w:szCs w:val="24"/>
        </w:rPr>
        <w:t xml:space="preserve">decision </w:t>
      </w:r>
      <w:r w:rsidR="00AF01B9">
        <w:rPr>
          <w:sz w:val="24"/>
          <w:szCs w:val="24"/>
        </w:rPr>
        <w:t xml:space="preserve">in </w:t>
      </w:r>
      <w:r w:rsidR="00AF01B9">
        <w:rPr>
          <w:i/>
          <w:iCs/>
          <w:sz w:val="24"/>
          <w:szCs w:val="24"/>
        </w:rPr>
        <w:t>Lipkin Gorman</w:t>
      </w:r>
      <w:r w:rsidR="00AF01B9">
        <w:rPr>
          <w:sz w:val="24"/>
          <w:szCs w:val="24"/>
        </w:rPr>
        <w:t xml:space="preserve"> </w:t>
      </w:r>
      <w:r w:rsidR="00AF01B9" w:rsidRPr="00D77138">
        <w:rPr>
          <w:rFonts w:ascii="Calibri" w:eastAsia="Calibri" w:hAnsi="Calibri" w:cs="Arial"/>
          <w:i/>
          <w:color w:val="000000"/>
          <w:sz w:val="24"/>
          <w:szCs w:val="24"/>
        </w:rPr>
        <w:t>v Karpnale Ltd</w:t>
      </w:r>
      <w:r w:rsidR="00AF01B9">
        <w:rPr>
          <w:rFonts w:ascii="Calibri" w:eastAsia="Calibri" w:hAnsi="Calibri" w:cs="Arial"/>
          <w:i/>
          <w:color w:val="000000"/>
          <w:sz w:val="24"/>
          <w:szCs w:val="24"/>
        </w:rPr>
        <w:t xml:space="preserve"> </w:t>
      </w:r>
      <w:r w:rsidR="00AF01B9">
        <w:rPr>
          <w:rFonts w:ascii="Calibri" w:eastAsia="Calibri" w:hAnsi="Calibri" w:cs="Arial"/>
          <w:iCs/>
          <w:color w:val="000000"/>
          <w:sz w:val="24"/>
          <w:szCs w:val="24"/>
        </w:rPr>
        <w:t>(</w:t>
      </w:r>
      <w:r w:rsidR="00AF01B9">
        <w:rPr>
          <w:rFonts w:ascii="Calibri" w:eastAsia="Calibri" w:hAnsi="Calibri" w:cs="Arial"/>
          <w:i/>
          <w:color w:val="000000"/>
          <w:sz w:val="24"/>
          <w:szCs w:val="24"/>
        </w:rPr>
        <w:t>Lipkin Gorman</w:t>
      </w:r>
      <w:r w:rsidR="00AF01B9">
        <w:rPr>
          <w:rFonts w:ascii="Calibri" w:eastAsia="Calibri" w:hAnsi="Calibri" w:cs="Arial"/>
          <w:iCs/>
          <w:color w:val="000000"/>
          <w:sz w:val="24"/>
          <w:szCs w:val="24"/>
        </w:rPr>
        <w:t>)</w:t>
      </w:r>
      <w:r w:rsidR="003760F4">
        <w:rPr>
          <w:sz w:val="24"/>
          <w:szCs w:val="24"/>
        </w:rPr>
        <w:t>.</w:t>
      </w:r>
      <w:r w:rsidR="00AF01B9">
        <w:rPr>
          <w:rStyle w:val="FootnoteReference"/>
          <w:sz w:val="24"/>
          <w:szCs w:val="24"/>
        </w:rPr>
        <w:footnoteReference w:id="63"/>
      </w:r>
      <w:r>
        <w:rPr>
          <w:rFonts w:ascii="Calibri" w:eastAsia="Calibri" w:hAnsi="Calibri" w:cs="Arial"/>
          <w:color w:val="000000"/>
          <w:sz w:val="24"/>
          <w:szCs w:val="24"/>
        </w:rPr>
        <w:t xml:space="preserve"> </w:t>
      </w:r>
      <w:bookmarkStart w:id="25" w:name="_Hlk75611947"/>
      <w:r w:rsidR="00E05A49">
        <w:rPr>
          <w:rFonts w:ascii="Calibri" w:eastAsia="Calibri" w:hAnsi="Calibri" w:cs="Arial"/>
          <w:i/>
          <w:iCs/>
          <w:color w:val="000000"/>
          <w:sz w:val="24"/>
          <w:szCs w:val="24"/>
        </w:rPr>
        <w:t>Quincecare</w:t>
      </w:r>
      <w:bookmarkEnd w:id="25"/>
      <w:r w:rsidR="00A27051">
        <w:rPr>
          <w:rFonts w:ascii="Calibri" w:eastAsia="Calibri" w:hAnsi="Calibri" w:cs="Arial"/>
          <w:color w:val="000000"/>
          <w:sz w:val="24"/>
          <w:szCs w:val="24"/>
        </w:rPr>
        <w:t xml:space="preserve"> </w:t>
      </w:r>
      <w:r w:rsidR="0019161B">
        <w:rPr>
          <w:rFonts w:ascii="Calibri" w:eastAsia="Calibri" w:hAnsi="Calibri" w:cs="Arial"/>
          <w:color w:val="000000"/>
          <w:sz w:val="24"/>
          <w:szCs w:val="24"/>
        </w:rPr>
        <w:t xml:space="preserve">involved a </w:t>
      </w:r>
      <w:r w:rsidR="00E05A49" w:rsidRPr="00E8368D">
        <w:rPr>
          <w:rFonts w:ascii="Calibri" w:eastAsia="Calibri" w:hAnsi="Calibri" w:cs="Arial"/>
          <w:color w:val="000000"/>
          <w:sz w:val="24"/>
          <w:szCs w:val="24"/>
        </w:rPr>
        <w:t>misappropriat</w:t>
      </w:r>
      <w:r w:rsidR="0019161B">
        <w:rPr>
          <w:rFonts w:ascii="Calibri" w:eastAsia="Calibri" w:hAnsi="Calibri" w:cs="Arial"/>
          <w:color w:val="000000"/>
          <w:sz w:val="24"/>
          <w:szCs w:val="24"/>
        </w:rPr>
        <w:t>ion of</w:t>
      </w:r>
      <w:r w:rsidR="00E05A49" w:rsidRPr="00E8368D">
        <w:rPr>
          <w:rFonts w:ascii="Calibri" w:eastAsia="Calibri" w:hAnsi="Calibri" w:cs="Arial"/>
          <w:color w:val="000000"/>
          <w:sz w:val="24"/>
          <w:szCs w:val="24"/>
        </w:rPr>
        <w:t xml:space="preserve"> company monies </w:t>
      </w:r>
      <w:r w:rsidR="0019161B">
        <w:rPr>
          <w:rFonts w:ascii="Calibri" w:eastAsia="Calibri" w:hAnsi="Calibri" w:cs="Arial"/>
          <w:color w:val="000000"/>
          <w:sz w:val="24"/>
          <w:szCs w:val="24"/>
        </w:rPr>
        <w:t>by its</w:t>
      </w:r>
      <w:r w:rsidR="0019161B" w:rsidRPr="00E8368D">
        <w:rPr>
          <w:rFonts w:ascii="Calibri" w:eastAsia="Calibri" w:hAnsi="Calibri" w:cs="Arial"/>
          <w:color w:val="000000"/>
          <w:sz w:val="24"/>
          <w:szCs w:val="24"/>
        </w:rPr>
        <w:t xml:space="preserve"> chairman </w:t>
      </w:r>
      <w:r w:rsidR="006A7863">
        <w:rPr>
          <w:rFonts w:ascii="Calibri" w:eastAsia="Calibri" w:hAnsi="Calibri" w:cs="Arial"/>
          <w:color w:val="000000"/>
          <w:sz w:val="24"/>
          <w:szCs w:val="24"/>
        </w:rPr>
        <w:t xml:space="preserve">in </w:t>
      </w:r>
      <w:r w:rsidR="00E05A49" w:rsidRPr="00E8368D">
        <w:rPr>
          <w:rFonts w:ascii="Calibri" w:eastAsia="Calibri" w:hAnsi="Calibri" w:cs="Arial"/>
          <w:color w:val="000000"/>
          <w:sz w:val="24"/>
          <w:szCs w:val="24"/>
        </w:rPr>
        <w:t xml:space="preserve">a </w:t>
      </w:r>
      <w:r w:rsidR="00E05A49">
        <w:rPr>
          <w:rFonts w:ascii="Calibri" w:eastAsia="Calibri" w:hAnsi="Calibri" w:cs="Arial"/>
          <w:color w:val="000000"/>
          <w:sz w:val="24"/>
          <w:szCs w:val="24"/>
        </w:rPr>
        <w:t xml:space="preserve">single </w:t>
      </w:r>
      <w:r w:rsidR="00E05A49" w:rsidRPr="00E8368D">
        <w:rPr>
          <w:rFonts w:ascii="Calibri" w:eastAsia="Calibri" w:hAnsi="Calibri" w:cs="Arial"/>
          <w:color w:val="000000"/>
          <w:sz w:val="24"/>
          <w:szCs w:val="24"/>
        </w:rPr>
        <w:t>funds transfer.</w:t>
      </w:r>
      <w:r w:rsidR="00E05A49">
        <w:rPr>
          <w:rFonts w:ascii="Calibri" w:eastAsia="Calibri" w:hAnsi="Calibri" w:cs="Arial"/>
          <w:color w:val="000000"/>
          <w:sz w:val="24"/>
          <w:szCs w:val="24"/>
        </w:rPr>
        <w:t xml:space="preserve"> Steyn J </w:t>
      </w:r>
      <w:r w:rsidR="006E6510">
        <w:rPr>
          <w:rFonts w:ascii="Calibri" w:eastAsia="Calibri" w:hAnsi="Calibri" w:cs="Arial"/>
          <w:color w:val="000000"/>
          <w:sz w:val="24"/>
          <w:szCs w:val="24"/>
        </w:rPr>
        <w:t xml:space="preserve">agreed with </w:t>
      </w:r>
      <w:r w:rsidR="006E6510">
        <w:rPr>
          <w:rFonts w:ascii="Calibri" w:eastAsia="Calibri" w:hAnsi="Calibri" w:cs="Arial"/>
          <w:i/>
          <w:iCs/>
          <w:color w:val="000000"/>
          <w:sz w:val="24"/>
          <w:szCs w:val="24"/>
        </w:rPr>
        <w:t xml:space="preserve">Selangor </w:t>
      </w:r>
      <w:r w:rsidR="006E6510" w:rsidRPr="006E6510">
        <w:rPr>
          <w:rFonts w:ascii="Calibri" w:eastAsia="Calibri" w:hAnsi="Calibri" w:cs="Arial"/>
          <w:color w:val="000000"/>
          <w:sz w:val="24"/>
          <w:szCs w:val="24"/>
        </w:rPr>
        <w:t>and</w:t>
      </w:r>
      <w:r w:rsidR="006E6510">
        <w:rPr>
          <w:rFonts w:ascii="Calibri" w:eastAsia="Calibri" w:hAnsi="Calibri" w:cs="Arial"/>
          <w:i/>
          <w:iCs/>
          <w:color w:val="000000"/>
          <w:sz w:val="24"/>
          <w:szCs w:val="24"/>
        </w:rPr>
        <w:t xml:space="preserve"> </w:t>
      </w:r>
      <w:r w:rsidR="006E6510" w:rsidRPr="006E6510">
        <w:rPr>
          <w:rFonts w:ascii="Calibri" w:eastAsia="Calibri" w:hAnsi="Calibri" w:cs="Arial"/>
          <w:i/>
          <w:iCs/>
          <w:color w:val="000000"/>
          <w:sz w:val="24"/>
          <w:szCs w:val="24"/>
        </w:rPr>
        <w:t>Karak</w:t>
      </w:r>
      <w:r w:rsidR="006E6510">
        <w:rPr>
          <w:rFonts w:ascii="Calibri" w:eastAsia="Calibri" w:hAnsi="Calibri" w:cs="Arial"/>
          <w:color w:val="000000"/>
          <w:sz w:val="24"/>
          <w:szCs w:val="24"/>
        </w:rPr>
        <w:t xml:space="preserve">’s sentiments </w:t>
      </w:r>
      <w:r w:rsidR="006A7863" w:rsidRPr="006E6510">
        <w:rPr>
          <w:rFonts w:ascii="Calibri" w:eastAsia="Calibri" w:hAnsi="Calibri" w:cs="Arial"/>
          <w:color w:val="000000"/>
          <w:sz w:val="24"/>
          <w:szCs w:val="24"/>
        </w:rPr>
        <w:t>that</w:t>
      </w:r>
      <w:r w:rsidR="006A7863">
        <w:rPr>
          <w:rFonts w:ascii="Calibri" w:eastAsia="Calibri" w:hAnsi="Calibri" w:cs="Arial"/>
          <w:color w:val="000000"/>
          <w:sz w:val="24"/>
          <w:szCs w:val="24"/>
        </w:rPr>
        <w:t xml:space="preserve"> there was ‘no logical or sensible reason’ for banks to be immune from the </w:t>
      </w:r>
      <w:r w:rsidR="00AC2B4C">
        <w:rPr>
          <w:rFonts w:ascii="Calibri" w:eastAsia="Calibri" w:hAnsi="Calibri" w:cs="Arial"/>
          <w:color w:val="000000"/>
          <w:sz w:val="24"/>
          <w:szCs w:val="24"/>
        </w:rPr>
        <w:t>general</w:t>
      </w:r>
      <w:r w:rsidR="00A27051">
        <w:rPr>
          <w:rFonts w:ascii="Calibri" w:eastAsia="Calibri" w:hAnsi="Calibri" w:cs="Arial"/>
          <w:color w:val="000000"/>
          <w:sz w:val="24"/>
          <w:szCs w:val="24"/>
        </w:rPr>
        <w:t xml:space="preserve"> </w:t>
      </w:r>
      <w:r w:rsidR="006A7863">
        <w:rPr>
          <w:rFonts w:ascii="Calibri" w:eastAsia="Calibri" w:hAnsi="Calibri" w:cs="Arial"/>
          <w:color w:val="000000"/>
          <w:sz w:val="24"/>
          <w:szCs w:val="24"/>
        </w:rPr>
        <w:t xml:space="preserve">duty </w:t>
      </w:r>
      <w:r w:rsidR="003439BB">
        <w:rPr>
          <w:rFonts w:ascii="Calibri" w:eastAsia="Calibri" w:hAnsi="Calibri" w:cs="Arial"/>
          <w:color w:val="000000"/>
          <w:sz w:val="24"/>
          <w:szCs w:val="24"/>
        </w:rPr>
        <w:t xml:space="preserve">of care </w:t>
      </w:r>
      <w:r w:rsidR="00E104DA">
        <w:rPr>
          <w:rFonts w:ascii="Calibri" w:eastAsia="Calibri" w:hAnsi="Calibri" w:cs="Arial"/>
          <w:color w:val="000000"/>
          <w:sz w:val="24"/>
          <w:szCs w:val="24"/>
        </w:rPr>
        <w:t xml:space="preserve">which all agents are subject to </w:t>
      </w:r>
      <w:r w:rsidR="00A27051">
        <w:rPr>
          <w:rFonts w:ascii="Calibri" w:eastAsia="Calibri" w:hAnsi="Calibri" w:cs="Arial"/>
          <w:color w:val="000000"/>
          <w:sz w:val="24"/>
          <w:szCs w:val="24"/>
        </w:rPr>
        <w:t>when</w:t>
      </w:r>
      <w:r w:rsidR="006A7863">
        <w:rPr>
          <w:rFonts w:ascii="Calibri" w:eastAsia="Calibri" w:hAnsi="Calibri" w:cs="Arial"/>
          <w:color w:val="000000"/>
          <w:sz w:val="24"/>
          <w:szCs w:val="24"/>
        </w:rPr>
        <w:t xml:space="preserve"> carrying out the instructions of </w:t>
      </w:r>
      <w:r w:rsidR="00E104DA">
        <w:rPr>
          <w:rFonts w:ascii="Calibri" w:eastAsia="Calibri" w:hAnsi="Calibri" w:cs="Arial"/>
          <w:color w:val="000000"/>
          <w:sz w:val="24"/>
          <w:szCs w:val="24"/>
        </w:rPr>
        <w:t>their</w:t>
      </w:r>
      <w:r w:rsidR="006A7863">
        <w:rPr>
          <w:rFonts w:ascii="Calibri" w:eastAsia="Calibri" w:hAnsi="Calibri" w:cs="Arial"/>
          <w:color w:val="000000"/>
          <w:sz w:val="24"/>
          <w:szCs w:val="24"/>
        </w:rPr>
        <w:t xml:space="preserve"> principal</w:t>
      </w:r>
      <w:r w:rsidR="00E104DA">
        <w:rPr>
          <w:rFonts w:ascii="Calibri" w:eastAsia="Calibri" w:hAnsi="Calibri" w:cs="Arial"/>
          <w:color w:val="000000"/>
          <w:sz w:val="24"/>
          <w:szCs w:val="24"/>
        </w:rPr>
        <w:t>s</w:t>
      </w:r>
      <w:r w:rsidR="006A7863">
        <w:rPr>
          <w:rFonts w:ascii="Calibri" w:eastAsia="Calibri" w:hAnsi="Calibri" w:cs="Arial"/>
          <w:color w:val="000000"/>
          <w:sz w:val="24"/>
          <w:szCs w:val="24"/>
        </w:rPr>
        <w:t>.</w:t>
      </w:r>
      <w:r w:rsidR="006A7863">
        <w:rPr>
          <w:rStyle w:val="FootnoteReference"/>
          <w:rFonts w:ascii="Calibri" w:eastAsia="Calibri" w:hAnsi="Calibri" w:cs="Arial"/>
          <w:color w:val="000000"/>
          <w:sz w:val="24"/>
          <w:szCs w:val="24"/>
        </w:rPr>
        <w:footnoteReference w:id="64"/>
      </w:r>
      <w:r w:rsidR="006A7863">
        <w:rPr>
          <w:rFonts w:ascii="Calibri" w:eastAsia="Calibri" w:hAnsi="Calibri" w:cs="Arial"/>
          <w:color w:val="000000"/>
          <w:sz w:val="24"/>
          <w:szCs w:val="24"/>
        </w:rPr>
        <w:t xml:space="preserve"> </w:t>
      </w:r>
      <w:r w:rsidR="00F51346">
        <w:rPr>
          <w:rFonts w:ascii="Calibri" w:eastAsia="Calibri" w:hAnsi="Calibri" w:cs="Arial"/>
          <w:color w:val="000000"/>
          <w:sz w:val="24"/>
          <w:szCs w:val="24"/>
        </w:rPr>
        <w:t xml:space="preserve">The remainder of the decision </w:t>
      </w:r>
      <w:r w:rsidR="003439BB">
        <w:rPr>
          <w:rFonts w:ascii="Calibri" w:eastAsia="Calibri" w:hAnsi="Calibri" w:cs="Arial"/>
          <w:color w:val="000000"/>
          <w:sz w:val="24"/>
          <w:szCs w:val="24"/>
        </w:rPr>
        <w:t xml:space="preserve">addressed </w:t>
      </w:r>
      <w:r w:rsidR="00F51346">
        <w:rPr>
          <w:rFonts w:ascii="Calibri" w:eastAsia="Calibri" w:hAnsi="Calibri" w:cs="Arial"/>
          <w:color w:val="000000"/>
          <w:sz w:val="24"/>
          <w:szCs w:val="24"/>
        </w:rPr>
        <w:t>the delicate question of how to balance th</w:t>
      </w:r>
      <w:r w:rsidR="00A27051">
        <w:rPr>
          <w:rFonts w:ascii="Calibri" w:eastAsia="Calibri" w:hAnsi="Calibri" w:cs="Arial"/>
          <w:color w:val="000000"/>
          <w:sz w:val="24"/>
          <w:szCs w:val="24"/>
        </w:rPr>
        <w:t>is</w:t>
      </w:r>
      <w:r w:rsidR="00F51346">
        <w:rPr>
          <w:rFonts w:ascii="Calibri" w:eastAsia="Calibri" w:hAnsi="Calibri" w:cs="Arial"/>
          <w:color w:val="000000"/>
          <w:sz w:val="24"/>
          <w:szCs w:val="24"/>
        </w:rPr>
        <w:t xml:space="preserve"> duty </w:t>
      </w:r>
      <w:r w:rsidR="00A27051">
        <w:rPr>
          <w:rFonts w:ascii="Calibri" w:eastAsia="Calibri" w:hAnsi="Calibri" w:cs="Arial"/>
          <w:color w:val="000000"/>
          <w:sz w:val="24"/>
          <w:szCs w:val="24"/>
        </w:rPr>
        <w:t>with the duty on a bank to pay promptly on demand.</w:t>
      </w:r>
      <w:r w:rsidR="006C3617">
        <w:rPr>
          <w:rFonts w:ascii="Calibri" w:eastAsia="Calibri" w:hAnsi="Calibri" w:cs="Arial"/>
          <w:color w:val="000000"/>
          <w:sz w:val="24"/>
          <w:szCs w:val="24"/>
        </w:rPr>
        <w:t xml:space="preserve"> </w:t>
      </w:r>
    </w:p>
    <w:p w14:paraId="235627F9" w14:textId="5CAED3B4" w:rsidR="00494B54" w:rsidRDefault="00AC2B4C" w:rsidP="00D77138">
      <w:pPr>
        <w:rPr>
          <w:rFonts w:ascii="Calibri" w:eastAsia="Calibri" w:hAnsi="Calibri" w:cs="Arial"/>
          <w:color w:val="000000"/>
          <w:sz w:val="24"/>
          <w:szCs w:val="24"/>
        </w:rPr>
      </w:pPr>
      <w:r>
        <w:rPr>
          <w:rFonts w:ascii="Calibri" w:eastAsia="Calibri" w:hAnsi="Calibri" w:cs="Arial"/>
          <w:i/>
          <w:iCs/>
          <w:color w:val="000000"/>
          <w:sz w:val="24"/>
          <w:szCs w:val="24"/>
        </w:rPr>
        <w:lastRenderedPageBreak/>
        <w:t xml:space="preserve">Lipkin Gorman </w:t>
      </w:r>
      <w:r w:rsidR="006E6510">
        <w:rPr>
          <w:rFonts w:ascii="Calibri" w:eastAsia="Calibri" w:hAnsi="Calibri" w:cs="Arial"/>
          <w:color w:val="000000"/>
          <w:sz w:val="24"/>
          <w:szCs w:val="24"/>
        </w:rPr>
        <w:t xml:space="preserve">followed soon after and </w:t>
      </w:r>
      <w:r>
        <w:rPr>
          <w:rFonts w:ascii="Calibri" w:eastAsia="Calibri" w:hAnsi="Calibri" w:cs="Arial"/>
          <w:color w:val="000000"/>
          <w:sz w:val="24"/>
          <w:szCs w:val="24"/>
        </w:rPr>
        <w:t>was</w:t>
      </w:r>
      <w:r w:rsidR="009800D1">
        <w:rPr>
          <w:rFonts w:ascii="Calibri" w:eastAsia="Calibri" w:hAnsi="Calibri" w:cs="Arial"/>
          <w:color w:val="000000"/>
          <w:sz w:val="24"/>
          <w:szCs w:val="24"/>
        </w:rPr>
        <w:t xml:space="preserve"> </w:t>
      </w:r>
      <w:r>
        <w:rPr>
          <w:rFonts w:ascii="Calibri" w:eastAsia="Calibri" w:hAnsi="Calibri" w:cs="Arial"/>
          <w:color w:val="000000"/>
          <w:sz w:val="24"/>
          <w:szCs w:val="24"/>
        </w:rPr>
        <w:t xml:space="preserve">the first </w:t>
      </w:r>
      <w:r w:rsidR="00E922B0">
        <w:rPr>
          <w:rFonts w:ascii="Calibri" w:eastAsia="Calibri" w:hAnsi="Calibri" w:cs="Arial"/>
          <w:color w:val="000000"/>
          <w:sz w:val="24"/>
          <w:szCs w:val="24"/>
        </w:rPr>
        <w:t xml:space="preserve">of </w:t>
      </w:r>
      <w:r w:rsidR="00865927">
        <w:rPr>
          <w:rFonts w:ascii="Calibri" w:eastAsia="Calibri" w:hAnsi="Calibri" w:cs="Arial"/>
          <w:color w:val="000000"/>
          <w:sz w:val="24"/>
          <w:szCs w:val="24"/>
        </w:rPr>
        <w:t>the</w:t>
      </w:r>
      <w:r w:rsidR="005264E4">
        <w:rPr>
          <w:rFonts w:ascii="Calibri" w:eastAsia="Calibri" w:hAnsi="Calibri" w:cs="Arial"/>
          <w:color w:val="000000"/>
          <w:sz w:val="24"/>
          <w:szCs w:val="24"/>
        </w:rPr>
        <w:t>se four</w:t>
      </w:r>
      <w:r>
        <w:rPr>
          <w:rFonts w:ascii="Calibri" w:eastAsia="Calibri" w:hAnsi="Calibri" w:cs="Arial"/>
          <w:color w:val="000000"/>
          <w:sz w:val="24"/>
          <w:szCs w:val="24"/>
        </w:rPr>
        <w:t xml:space="preserve"> cases to go to the Court of Appeal</w:t>
      </w:r>
      <w:r w:rsidR="00E104DA">
        <w:rPr>
          <w:rFonts w:ascii="Calibri" w:eastAsia="Calibri" w:hAnsi="Calibri" w:cs="Arial"/>
          <w:color w:val="000000"/>
          <w:sz w:val="24"/>
          <w:szCs w:val="24"/>
        </w:rPr>
        <w:t xml:space="preserve">. There, </w:t>
      </w:r>
      <w:r w:rsidR="005264E4">
        <w:rPr>
          <w:rFonts w:ascii="Calibri" w:eastAsia="Calibri" w:hAnsi="Calibri" w:cs="Arial"/>
          <w:color w:val="000000"/>
          <w:sz w:val="24"/>
          <w:szCs w:val="24"/>
        </w:rPr>
        <w:t>the duty</w:t>
      </w:r>
      <w:r w:rsidR="00E104DA">
        <w:rPr>
          <w:rFonts w:ascii="Calibri" w:eastAsia="Calibri" w:hAnsi="Calibri" w:cs="Arial"/>
          <w:color w:val="000000"/>
          <w:sz w:val="24"/>
          <w:szCs w:val="24"/>
        </w:rPr>
        <w:t xml:space="preserve"> of care</w:t>
      </w:r>
      <w:r w:rsidR="005264E4">
        <w:rPr>
          <w:rFonts w:ascii="Calibri" w:eastAsia="Calibri" w:hAnsi="Calibri" w:cs="Arial"/>
          <w:color w:val="000000"/>
          <w:sz w:val="24"/>
          <w:szCs w:val="24"/>
        </w:rPr>
        <w:t xml:space="preserve"> in the payment context</w:t>
      </w:r>
      <w:r w:rsidR="00E104DA">
        <w:rPr>
          <w:rFonts w:ascii="Calibri" w:eastAsia="Calibri" w:hAnsi="Calibri" w:cs="Arial"/>
          <w:color w:val="000000"/>
          <w:sz w:val="24"/>
          <w:szCs w:val="24"/>
        </w:rPr>
        <w:t xml:space="preserve"> was confirmed</w:t>
      </w:r>
      <w:r>
        <w:rPr>
          <w:rFonts w:ascii="Calibri" w:eastAsia="Calibri" w:hAnsi="Calibri" w:cs="Arial"/>
          <w:color w:val="000000"/>
          <w:sz w:val="24"/>
          <w:szCs w:val="24"/>
        </w:rPr>
        <w:t>.</w:t>
      </w:r>
      <w:r>
        <w:rPr>
          <w:rStyle w:val="FootnoteReference"/>
          <w:rFonts w:ascii="Calibri" w:eastAsia="Calibri" w:hAnsi="Calibri" w:cs="Arial"/>
          <w:color w:val="000000"/>
          <w:sz w:val="24"/>
          <w:szCs w:val="24"/>
        </w:rPr>
        <w:footnoteReference w:id="65"/>
      </w:r>
      <w:r>
        <w:rPr>
          <w:rFonts w:ascii="Calibri" w:eastAsia="Calibri" w:hAnsi="Calibri" w:cs="Arial"/>
          <w:color w:val="000000"/>
          <w:sz w:val="24"/>
          <w:szCs w:val="24"/>
        </w:rPr>
        <w:t xml:space="preserve"> </w:t>
      </w:r>
      <w:r w:rsidR="00E104DA">
        <w:rPr>
          <w:rFonts w:ascii="Calibri" w:eastAsia="Calibri" w:hAnsi="Calibri" w:cs="Arial"/>
          <w:color w:val="000000"/>
          <w:sz w:val="24"/>
          <w:szCs w:val="24"/>
        </w:rPr>
        <w:t>M</w:t>
      </w:r>
      <w:r w:rsidR="00865927">
        <w:rPr>
          <w:rFonts w:ascii="Calibri" w:eastAsia="Calibri" w:hAnsi="Calibri" w:cs="Arial"/>
          <w:color w:val="000000"/>
          <w:sz w:val="24"/>
          <w:szCs w:val="24"/>
        </w:rPr>
        <w:t xml:space="preserve">uch of the focus </w:t>
      </w:r>
      <w:r w:rsidR="00E104DA">
        <w:rPr>
          <w:rFonts w:ascii="Calibri" w:eastAsia="Calibri" w:hAnsi="Calibri" w:cs="Arial"/>
          <w:color w:val="000000"/>
          <w:sz w:val="24"/>
          <w:szCs w:val="24"/>
        </w:rPr>
        <w:t xml:space="preserve">in the Court of Appeal </w:t>
      </w:r>
      <w:r w:rsidR="00865927">
        <w:rPr>
          <w:rFonts w:ascii="Calibri" w:eastAsia="Calibri" w:hAnsi="Calibri" w:cs="Arial"/>
          <w:color w:val="000000"/>
          <w:sz w:val="24"/>
          <w:szCs w:val="24"/>
        </w:rPr>
        <w:t xml:space="preserve">was </w:t>
      </w:r>
      <w:r w:rsidR="00E104DA">
        <w:rPr>
          <w:rFonts w:ascii="Calibri" w:eastAsia="Calibri" w:hAnsi="Calibri" w:cs="Arial"/>
          <w:color w:val="000000"/>
          <w:sz w:val="24"/>
          <w:szCs w:val="24"/>
        </w:rPr>
        <w:t>again not</w:t>
      </w:r>
      <w:r w:rsidR="00865927">
        <w:rPr>
          <w:rFonts w:ascii="Calibri" w:eastAsia="Calibri" w:hAnsi="Calibri" w:cs="Arial"/>
          <w:color w:val="000000"/>
          <w:sz w:val="24"/>
          <w:szCs w:val="24"/>
        </w:rPr>
        <w:t xml:space="preserve"> on the existence of the duty, but on its calibration. </w:t>
      </w:r>
      <w:r>
        <w:rPr>
          <w:rFonts w:ascii="Calibri" w:eastAsia="Calibri" w:hAnsi="Calibri" w:cs="Arial"/>
          <w:color w:val="000000"/>
          <w:sz w:val="24"/>
          <w:szCs w:val="24"/>
        </w:rPr>
        <w:t xml:space="preserve">The </w:t>
      </w:r>
      <w:r w:rsidR="00865927">
        <w:rPr>
          <w:rFonts w:ascii="Calibri" w:eastAsia="Calibri" w:hAnsi="Calibri" w:cs="Arial"/>
          <w:color w:val="000000"/>
          <w:sz w:val="24"/>
          <w:szCs w:val="24"/>
        </w:rPr>
        <w:t xml:space="preserve">case </w:t>
      </w:r>
      <w:r w:rsidR="005264E4">
        <w:rPr>
          <w:rFonts w:ascii="Calibri" w:eastAsia="Calibri" w:hAnsi="Calibri" w:cs="Arial"/>
          <w:color w:val="000000"/>
          <w:sz w:val="24"/>
          <w:szCs w:val="24"/>
        </w:rPr>
        <w:t>involved</w:t>
      </w:r>
      <w:r w:rsidR="00865927">
        <w:rPr>
          <w:rFonts w:ascii="Calibri" w:eastAsia="Calibri" w:hAnsi="Calibri" w:cs="Arial"/>
          <w:color w:val="000000"/>
          <w:sz w:val="24"/>
          <w:szCs w:val="24"/>
        </w:rPr>
        <w:t xml:space="preserve"> </w:t>
      </w:r>
      <w:r w:rsidR="009800D1">
        <w:rPr>
          <w:rFonts w:ascii="Calibri" w:eastAsia="Calibri" w:hAnsi="Calibri" w:cs="Arial"/>
          <w:color w:val="000000"/>
          <w:sz w:val="24"/>
          <w:szCs w:val="24"/>
        </w:rPr>
        <w:t xml:space="preserve">a firm of solicitors </w:t>
      </w:r>
      <w:r w:rsidR="005264E4">
        <w:rPr>
          <w:rFonts w:ascii="Calibri" w:eastAsia="Calibri" w:hAnsi="Calibri" w:cs="Arial"/>
          <w:color w:val="000000"/>
          <w:sz w:val="24"/>
          <w:szCs w:val="24"/>
        </w:rPr>
        <w:t xml:space="preserve">whose junior partner </w:t>
      </w:r>
      <w:r w:rsidR="009800D1">
        <w:rPr>
          <w:rFonts w:ascii="Calibri" w:eastAsia="Calibri" w:hAnsi="Calibri" w:cs="Arial"/>
          <w:color w:val="000000"/>
          <w:sz w:val="24"/>
          <w:szCs w:val="24"/>
        </w:rPr>
        <w:t>dishonestly dr</w:t>
      </w:r>
      <w:r w:rsidR="005264E4">
        <w:rPr>
          <w:rFonts w:ascii="Calibri" w:eastAsia="Calibri" w:hAnsi="Calibri" w:cs="Arial"/>
          <w:color w:val="000000"/>
          <w:sz w:val="24"/>
          <w:szCs w:val="24"/>
        </w:rPr>
        <w:t>ew cheques</w:t>
      </w:r>
      <w:r w:rsidR="009800D1">
        <w:rPr>
          <w:rFonts w:ascii="Calibri" w:eastAsia="Calibri" w:hAnsi="Calibri" w:cs="Arial"/>
          <w:color w:val="000000"/>
          <w:sz w:val="24"/>
          <w:szCs w:val="24"/>
        </w:rPr>
        <w:t xml:space="preserve"> on the firm’s client account. The</w:t>
      </w:r>
      <w:r w:rsidR="005264E4">
        <w:rPr>
          <w:rFonts w:ascii="Calibri" w:eastAsia="Calibri" w:hAnsi="Calibri" w:cs="Arial"/>
          <w:color w:val="000000"/>
          <w:sz w:val="24"/>
          <w:szCs w:val="24"/>
        </w:rPr>
        <w:t xml:space="preserve"> paying</w:t>
      </w:r>
      <w:r w:rsidR="009800D1">
        <w:rPr>
          <w:rFonts w:ascii="Calibri" w:eastAsia="Calibri" w:hAnsi="Calibri" w:cs="Arial"/>
          <w:color w:val="000000"/>
          <w:sz w:val="24"/>
          <w:szCs w:val="24"/>
        </w:rPr>
        <w:t xml:space="preserve"> bank </w:t>
      </w:r>
      <w:r w:rsidR="005264E4">
        <w:rPr>
          <w:rFonts w:ascii="Calibri" w:eastAsia="Calibri" w:hAnsi="Calibri" w:cs="Arial"/>
          <w:color w:val="000000"/>
          <w:sz w:val="24"/>
          <w:szCs w:val="24"/>
        </w:rPr>
        <w:t xml:space="preserve">was conscious </w:t>
      </w:r>
      <w:r w:rsidR="006C3617">
        <w:rPr>
          <w:rFonts w:ascii="Calibri" w:eastAsia="Calibri" w:hAnsi="Calibri" w:cs="Arial"/>
          <w:color w:val="000000"/>
          <w:sz w:val="24"/>
          <w:szCs w:val="24"/>
        </w:rPr>
        <w:t>of the frequent withdrawals from</w:t>
      </w:r>
      <w:r w:rsidR="006C3617" w:rsidRPr="00D60EB7">
        <w:rPr>
          <w:rFonts w:ascii="Calibri" w:eastAsia="Calibri" w:hAnsi="Calibri" w:cs="Arial"/>
          <w:color w:val="000000"/>
          <w:sz w:val="24"/>
          <w:szCs w:val="24"/>
        </w:rPr>
        <w:t xml:space="preserve"> the firm’s client account</w:t>
      </w:r>
      <w:r w:rsidR="005264E4">
        <w:rPr>
          <w:rFonts w:ascii="Calibri" w:eastAsia="Calibri" w:hAnsi="Calibri" w:cs="Arial"/>
          <w:color w:val="000000"/>
          <w:sz w:val="24"/>
          <w:szCs w:val="24"/>
        </w:rPr>
        <w:t xml:space="preserve"> by </w:t>
      </w:r>
      <w:r w:rsidR="009800D1">
        <w:rPr>
          <w:rFonts w:ascii="Calibri" w:eastAsia="Calibri" w:hAnsi="Calibri" w:cs="Arial"/>
          <w:color w:val="000000"/>
          <w:sz w:val="24"/>
          <w:szCs w:val="24"/>
        </w:rPr>
        <w:t>the rogue solicitor</w:t>
      </w:r>
      <w:r w:rsidR="005264E4">
        <w:rPr>
          <w:rFonts w:ascii="Calibri" w:eastAsia="Calibri" w:hAnsi="Calibri" w:cs="Arial"/>
          <w:color w:val="000000"/>
          <w:sz w:val="24"/>
          <w:szCs w:val="24"/>
        </w:rPr>
        <w:t xml:space="preserve">, whom they knew </w:t>
      </w:r>
      <w:r w:rsidR="009800D1">
        <w:rPr>
          <w:rFonts w:ascii="Calibri" w:eastAsia="Calibri" w:hAnsi="Calibri" w:cs="Arial"/>
          <w:color w:val="000000"/>
          <w:sz w:val="24"/>
          <w:szCs w:val="24"/>
        </w:rPr>
        <w:t xml:space="preserve">had a gambling habit </w:t>
      </w:r>
      <w:r w:rsidR="006E6510">
        <w:rPr>
          <w:rFonts w:ascii="Calibri" w:eastAsia="Calibri" w:hAnsi="Calibri" w:cs="Arial"/>
          <w:color w:val="000000"/>
          <w:sz w:val="24"/>
          <w:szCs w:val="24"/>
        </w:rPr>
        <w:t xml:space="preserve">and </w:t>
      </w:r>
      <w:r w:rsidR="005264E4">
        <w:rPr>
          <w:rFonts w:ascii="Calibri" w:eastAsia="Calibri" w:hAnsi="Calibri" w:cs="Arial"/>
          <w:color w:val="000000"/>
          <w:sz w:val="24"/>
          <w:szCs w:val="24"/>
        </w:rPr>
        <w:t>a poor</w:t>
      </w:r>
      <w:r w:rsidR="009800D1">
        <w:rPr>
          <w:rFonts w:ascii="Calibri" w:eastAsia="Calibri" w:hAnsi="Calibri" w:cs="Arial"/>
          <w:color w:val="000000"/>
          <w:sz w:val="24"/>
          <w:szCs w:val="24"/>
        </w:rPr>
        <w:t xml:space="preserve"> personal financial position.</w:t>
      </w:r>
      <w:r w:rsidR="009800D1">
        <w:rPr>
          <w:rStyle w:val="FootnoteReference"/>
          <w:rFonts w:ascii="Calibri" w:eastAsia="Calibri" w:hAnsi="Calibri" w:cs="Arial"/>
          <w:color w:val="000000"/>
          <w:sz w:val="24"/>
          <w:szCs w:val="24"/>
        </w:rPr>
        <w:footnoteReference w:id="66"/>
      </w:r>
      <w:r w:rsidR="009800D1">
        <w:rPr>
          <w:rFonts w:ascii="Calibri" w:eastAsia="Calibri" w:hAnsi="Calibri" w:cs="Arial"/>
          <w:color w:val="000000"/>
          <w:sz w:val="24"/>
          <w:szCs w:val="24"/>
        </w:rPr>
        <w:t xml:space="preserve"> </w:t>
      </w:r>
      <w:r w:rsidR="005264E4">
        <w:rPr>
          <w:rFonts w:ascii="Calibri" w:eastAsia="Calibri" w:hAnsi="Calibri" w:cs="Arial"/>
          <w:color w:val="000000"/>
          <w:sz w:val="24"/>
          <w:szCs w:val="24"/>
        </w:rPr>
        <w:t>The bank</w:t>
      </w:r>
      <w:r w:rsidR="00E104DA">
        <w:rPr>
          <w:rFonts w:ascii="Calibri" w:eastAsia="Calibri" w:hAnsi="Calibri" w:cs="Arial"/>
          <w:color w:val="000000"/>
          <w:sz w:val="24"/>
          <w:szCs w:val="24"/>
        </w:rPr>
        <w:t xml:space="preserve">’s </w:t>
      </w:r>
      <w:r w:rsidR="005264E4">
        <w:rPr>
          <w:rFonts w:ascii="Calibri" w:eastAsia="Calibri" w:hAnsi="Calibri" w:cs="Arial"/>
          <w:color w:val="000000"/>
          <w:sz w:val="24"/>
          <w:szCs w:val="24"/>
        </w:rPr>
        <w:t>exonerat</w:t>
      </w:r>
      <w:r w:rsidR="00E104DA">
        <w:rPr>
          <w:rFonts w:ascii="Calibri" w:eastAsia="Calibri" w:hAnsi="Calibri" w:cs="Arial"/>
          <w:color w:val="000000"/>
          <w:sz w:val="24"/>
          <w:szCs w:val="24"/>
        </w:rPr>
        <w:t>ion</w:t>
      </w:r>
      <w:r w:rsidR="005264E4">
        <w:rPr>
          <w:rFonts w:ascii="Calibri" w:eastAsia="Calibri" w:hAnsi="Calibri" w:cs="Arial"/>
          <w:color w:val="000000"/>
          <w:sz w:val="24"/>
          <w:szCs w:val="24"/>
        </w:rPr>
        <w:t xml:space="preserve"> </w:t>
      </w:r>
      <w:r w:rsidR="009800D1">
        <w:rPr>
          <w:rFonts w:ascii="Calibri" w:eastAsia="Calibri" w:hAnsi="Calibri" w:cs="Arial"/>
          <w:color w:val="000000"/>
          <w:sz w:val="24"/>
          <w:szCs w:val="24"/>
        </w:rPr>
        <w:t xml:space="preserve">brought home the message that the threshold required </w:t>
      </w:r>
      <w:r w:rsidR="005264E4">
        <w:rPr>
          <w:rFonts w:ascii="Calibri" w:eastAsia="Calibri" w:hAnsi="Calibri" w:cs="Arial"/>
          <w:color w:val="000000"/>
          <w:sz w:val="24"/>
          <w:szCs w:val="24"/>
        </w:rPr>
        <w:t>for breach</w:t>
      </w:r>
      <w:r w:rsidR="009800D1">
        <w:rPr>
          <w:rFonts w:ascii="Calibri" w:eastAsia="Calibri" w:hAnsi="Calibri" w:cs="Arial"/>
          <w:color w:val="000000"/>
          <w:sz w:val="24"/>
          <w:szCs w:val="24"/>
        </w:rPr>
        <w:t xml:space="preserve"> was high.</w:t>
      </w:r>
      <w:r w:rsidR="006C3617">
        <w:rPr>
          <w:rFonts w:ascii="Calibri" w:eastAsia="Calibri" w:hAnsi="Calibri" w:cs="Arial"/>
          <w:color w:val="000000"/>
          <w:sz w:val="24"/>
          <w:szCs w:val="24"/>
        </w:rPr>
        <w:t xml:space="preserve"> </w:t>
      </w:r>
    </w:p>
    <w:p w14:paraId="4960B949" w14:textId="26AA4353" w:rsidR="006C3617" w:rsidRDefault="006C3617" w:rsidP="00D77138">
      <w:pPr>
        <w:rPr>
          <w:rFonts w:ascii="Calibri" w:eastAsia="Calibri" w:hAnsi="Calibri" w:cs="Arial"/>
          <w:color w:val="000000"/>
          <w:sz w:val="24"/>
          <w:szCs w:val="24"/>
        </w:rPr>
      </w:pPr>
      <w:r>
        <w:rPr>
          <w:rFonts w:ascii="Calibri" w:eastAsia="Calibri" w:hAnsi="Calibri" w:cs="Arial"/>
          <w:i/>
          <w:iCs/>
          <w:color w:val="000000"/>
          <w:sz w:val="24"/>
          <w:szCs w:val="24"/>
        </w:rPr>
        <w:t xml:space="preserve">Quincecare </w:t>
      </w:r>
      <w:r>
        <w:rPr>
          <w:rFonts w:ascii="Calibri" w:eastAsia="Calibri" w:hAnsi="Calibri" w:cs="Arial"/>
          <w:color w:val="000000"/>
          <w:sz w:val="24"/>
          <w:szCs w:val="24"/>
        </w:rPr>
        <w:t xml:space="preserve">and </w:t>
      </w:r>
      <w:r>
        <w:rPr>
          <w:rFonts w:ascii="Calibri" w:eastAsia="Calibri" w:hAnsi="Calibri" w:cs="Arial"/>
          <w:i/>
          <w:iCs/>
          <w:color w:val="000000"/>
          <w:sz w:val="24"/>
          <w:szCs w:val="24"/>
        </w:rPr>
        <w:t xml:space="preserve">Lipkin Gorman </w:t>
      </w:r>
      <w:r w:rsidR="00EB3EB1">
        <w:rPr>
          <w:rFonts w:ascii="Calibri" w:eastAsia="Calibri" w:hAnsi="Calibri" w:cs="Arial"/>
          <w:color w:val="000000"/>
          <w:sz w:val="24"/>
          <w:szCs w:val="24"/>
        </w:rPr>
        <w:t xml:space="preserve">were </w:t>
      </w:r>
      <w:r w:rsidR="004055F3">
        <w:rPr>
          <w:rFonts w:ascii="Calibri" w:eastAsia="Calibri" w:hAnsi="Calibri" w:cs="Arial"/>
          <w:color w:val="000000"/>
          <w:sz w:val="24"/>
          <w:szCs w:val="24"/>
        </w:rPr>
        <w:t>paradigm</w:t>
      </w:r>
      <w:r w:rsidR="00EB3EB1">
        <w:rPr>
          <w:rFonts w:ascii="Calibri" w:eastAsia="Calibri" w:hAnsi="Calibri" w:cs="Arial"/>
          <w:color w:val="000000"/>
          <w:sz w:val="24"/>
          <w:szCs w:val="24"/>
        </w:rPr>
        <w:t xml:space="preserve"> rogue-agent cases and </w:t>
      </w:r>
      <w:r>
        <w:rPr>
          <w:rFonts w:ascii="Calibri" w:eastAsia="Calibri" w:hAnsi="Calibri" w:cs="Arial"/>
          <w:color w:val="000000"/>
          <w:sz w:val="24"/>
          <w:szCs w:val="24"/>
        </w:rPr>
        <w:t xml:space="preserve">are compatible with the view that the bank’s duty is to guard against </w:t>
      </w:r>
      <w:r w:rsidR="004055F3">
        <w:rPr>
          <w:rFonts w:ascii="Calibri" w:eastAsia="Calibri" w:hAnsi="Calibri" w:cs="Arial"/>
          <w:color w:val="000000"/>
          <w:sz w:val="24"/>
          <w:szCs w:val="24"/>
        </w:rPr>
        <w:t xml:space="preserve">the </w:t>
      </w:r>
      <w:r>
        <w:rPr>
          <w:rFonts w:ascii="Calibri" w:eastAsia="Calibri" w:hAnsi="Calibri" w:cs="Arial"/>
          <w:color w:val="000000"/>
          <w:sz w:val="24"/>
          <w:szCs w:val="24"/>
        </w:rPr>
        <w:t xml:space="preserve">misuse of signing powers </w:t>
      </w:r>
      <w:r w:rsidR="004055F3">
        <w:rPr>
          <w:rFonts w:ascii="Calibri" w:eastAsia="Calibri" w:hAnsi="Calibri" w:cs="Arial"/>
          <w:color w:val="000000"/>
          <w:sz w:val="24"/>
          <w:szCs w:val="24"/>
        </w:rPr>
        <w:t xml:space="preserve">entrusted to </w:t>
      </w:r>
      <w:r>
        <w:rPr>
          <w:rFonts w:ascii="Calibri" w:eastAsia="Calibri" w:hAnsi="Calibri" w:cs="Arial"/>
          <w:color w:val="000000"/>
          <w:sz w:val="24"/>
          <w:szCs w:val="24"/>
        </w:rPr>
        <w:t xml:space="preserve">an agent. </w:t>
      </w:r>
      <w:r w:rsidR="003A4305">
        <w:rPr>
          <w:rFonts w:ascii="Calibri" w:eastAsia="Calibri" w:hAnsi="Calibri" w:cs="Arial"/>
          <w:color w:val="000000"/>
          <w:sz w:val="24"/>
          <w:szCs w:val="24"/>
        </w:rPr>
        <w:t xml:space="preserve">Yet, neither case </w:t>
      </w:r>
      <w:r w:rsidR="004055F3">
        <w:rPr>
          <w:rFonts w:ascii="Calibri" w:eastAsia="Calibri" w:hAnsi="Calibri" w:cs="Arial"/>
          <w:color w:val="000000"/>
          <w:sz w:val="24"/>
          <w:szCs w:val="24"/>
        </w:rPr>
        <w:t>explicitly</w:t>
      </w:r>
      <w:r w:rsidR="003A4305">
        <w:rPr>
          <w:rFonts w:ascii="Calibri" w:eastAsia="Calibri" w:hAnsi="Calibri" w:cs="Arial"/>
          <w:color w:val="000000"/>
          <w:sz w:val="24"/>
          <w:szCs w:val="24"/>
        </w:rPr>
        <w:t xml:space="preserve"> restricts the duty to the agency scenario. To the contrary, </w:t>
      </w:r>
      <w:r w:rsidR="003A616B">
        <w:rPr>
          <w:rFonts w:ascii="Calibri" w:eastAsia="Calibri" w:hAnsi="Calibri" w:cs="Arial"/>
          <w:color w:val="000000"/>
          <w:sz w:val="24"/>
          <w:szCs w:val="24"/>
        </w:rPr>
        <w:t>both</w:t>
      </w:r>
      <w:r w:rsidR="003A4305">
        <w:rPr>
          <w:rFonts w:ascii="Calibri" w:eastAsia="Calibri" w:hAnsi="Calibri" w:cs="Arial"/>
          <w:color w:val="000000"/>
          <w:sz w:val="24"/>
          <w:szCs w:val="24"/>
        </w:rPr>
        <w:t xml:space="preserve"> </w:t>
      </w:r>
      <w:r w:rsidR="003A616B">
        <w:rPr>
          <w:rFonts w:ascii="Calibri" w:eastAsia="Calibri" w:hAnsi="Calibri" w:cs="Arial"/>
          <w:color w:val="000000"/>
          <w:sz w:val="24"/>
          <w:szCs w:val="24"/>
        </w:rPr>
        <w:t>contain more general statements about the duty.</w:t>
      </w:r>
      <w:r w:rsidR="00E96576">
        <w:rPr>
          <w:rStyle w:val="FootnoteReference"/>
          <w:rFonts w:ascii="Calibri" w:eastAsia="Calibri" w:hAnsi="Calibri" w:cs="Arial"/>
          <w:color w:val="000000"/>
          <w:sz w:val="24"/>
          <w:szCs w:val="24"/>
        </w:rPr>
        <w:footnoteReference w:id="67"/>
      </w:r>
      <w:r w:rsidR="003A616B">
        <w:rPr>
          <w:rFonts w:ascii="Calibri" w:eastAsia="Calibri" w:hAnsi="Calibri" w:cs="Arial"/>
          <w:color w:val="000000"/>
          <w:sz w:val="24"/>
          <w:szCs w:val="24"/>
        </w:rPr>
        <w:t xml:space="preserve"> </w:t>
      </w:r>
      <w:r w:rsidR="008277F9">
        <w:rPr>
          <w:sz w:val="24"/>
          <w:szCs w:val="24"/>
        </w:rPr>
        <w:t xml:space="preserve">In </w:t>
      </w:r>
      <w:r w:rsidR="008277F9" w:rsidRPr="00315312">
        <w:rPr>
          <w:i/>
          <w:iCs/>
          <w:sz w:val="24"/>
          <w:szCs w:val="24"/>
        </w:rPr>
        <w:t>Quincecare</w:t>
      </w:r>
      <w:r w:rsidR="008277F9">
        <w:rPr>
          <w:sz w:val="24"/>
          <w:szCs w:val="24"/>
        </w:rPr>
        <w:t>, for example, Steyn J said: ‘</w:t>
      </w:r>
      <w:r w:rsidR="008277F9" w:rsidRPr="00073682">
        <w:rPr>
          <w:sz w:val="24"/>
          <w:szCs w:val="24"/>
        </w:rPr>
        <w:t>the law should guard against the facilitation of fraud, and exact a reasonable standard of care in order to combat fraud and to protect bank customers and innocent third parties</w:t>
      </w:r>
      <w:r w:rsidR="008277F9">
        <w:rPr>
          <w:sz w:val="24"/>
          <w:szCs w:val="24"/>
        </w:rPr>
        <w:t>’</w:t>
      </w:r>
      <w:r w:rsidR="008277F9">
        <w:rPr>
          <w:rStyle w:val="FootnoteReference"/>
          <w:sz w:val="24"/>
          <w:szCs w:val="24"/>
        </w:rPr>
        <w:footnoteReference w:id="68"/>
      </w:r>
      <w:r w:rsidR="008277F9">
        <w:rPr>
          <w:sz w:val="24"/>
          <w:szCs w:val="24"/>
        </w:rPr>
        <w:t xml:space="preserve"> </w:t>
      </w:r>
      <w:r w:rsidR="00E104DA">
        <w:rPr>
          <w:sz w:val="24"/>
          <w:szCs w:val="24"/>
        </w:rPr>
        <w:t>B</w:t>
      </w:r>
      <w:r w:rsidR="003760F4">
        <w:rPr>
          <w:sz w:val="24"/>
          <w:szCs w:val="24"/>
        </w:rPr>
        <w:t>oth cases have</w:t>
      </w:r>
      <w:r w:rsidR="004055F3">
        <w:rPr>
          <w:sz w:val="24"/>
          <w:szCs w:val="24"/>
        </w:rPr>
        <w:t xml:space="preserve"> dicta that refer to the agency context, but they cannot be taken to restrict the duty in that way, particularly against the background of </w:t>
      </w:r>
      <w:r w:rsidR="004055F3">
        <w:rPr>
          <w:i/>
          <w:iCs/>
          <w:sz w:val="24"/>
          <w:szCs w:val="24"/>
        </w:rPr>
        <w:t xml:space="preserve">Selangor </w:t>
      </w:r>
      <w:r w:rsidR="004055F3" w:rsidRPr="004055F3">
        <w:rPr>
          <w:sz w:val="24"/>
          <w:szCs w:val="24"/>
        </w:rPr>
        <w:t>and</w:t>
      </w:r>
      <w:r w:rsidR="004055F3">
        <w:rPr>
          <w:i/>
          <w:iCs/>
          <w:sz w:val="24"/>
          <w:szCs w:val="24"/>
        </w:rPr>
        <w:t xml:space="preserve"> Karak. </w:t>
      </w:r>
      <w:r w:rsidR="003760F4">
        <w:rPr>
          <w:sz w:val="24"/>
          <w:szCs w:val="24"/>
        </w:rPr>
        <w:t>A</w:t>
      </w:r>
      <w:r w:rsidR="004055F3">
        <w:rPr>
          <w:sz w:val="24"/>
          <w:szCs w:val="24"/>
        </w:rPr>
        <w:t xml:space="preserve">ny clarification of those earlier cases </w:t>
      </w:r>
      <w:r w:rsidR="0092717A">
        <w:rPr>
          <w:sz w:val="24"/>
          <w:szCs w:val="24"/>
        </w:rPr>
        <w:t xml:space="preserve">along those lines </w:t>
      </w:r>
      <w:r w:rsidR="003760F4">
        <w:rPr>
          <w:sz w:val="24"/>
          <w:szCs w:val="24"/>
        </w:rPr>
        <w:t xml:space="preserve">surely had </w:t>
      </w:r>
      <w:r w:rsidR="004055F3">
        <w:rPr>
          <w:sz w:val="24"/>
          <w:szCs w:val="24"/>
        </w:rPr>
        <w:t xml:space="preserve">to be more clearly signposted. </w:t>
      </w:r>
    </w:p>
    <w:p w14:paraId="2D27E3EB" w14:textId="60FD896D" w:rsidR="00A86A8E" w:rsidRDefault="00A86A8E" w:rsidP="00A86A8E">
      <w:pPr>
        <w:rPr>
          <w:rFonts w:ascii="Calibri" w:eastAsia="Calibri" w:hAnsi="Calibri" w:cs="Arial"/>
          <w:color w:val="000000"/>
          <w:sz w:val="24"/>
          <w:szCs w:val="24"/>
          <w:lang w:val="en-US"/>
        </w:rPr>
      </w:pPr>
      <w:r>
        <w:rPr>
          <w:rFonts w:ascii="Calibri" w:eastAsia="Calibri" w:hAnsi="Calibri" w:cs="Arial"/>
          <w:color w:val="000000"/>
          <w:sz w:val="24"/>
          <w:szCs w:val="24"/>
          <w:lang w:val="en-US"/>
        </w:rPr>
        <w:t xml:space="preserve">The </w:t>
      </w:r>
      <w:r w:rsidR="004055F3">
        <w:rPr>
          <w:rFonts w:ascii="Calibri" w:eastAsia="Calibri" w:hAnsi="Calibri" w:cs="Arial"/>
          <w:color w:val="000000"/>
          <w:sz w:val="24"/>
          <w:szCs w:val="24"/>
          <w:lang w:val="en-US"/>
        </w:rPr>
        <w:t xml:space="preserve">final </w:t>
      </w:r>
      <w:r w:rsidR="003A4305">
        <w:rPr>
          <w:rFonts w:ascii="Calibri" w:eastAsia="Calibri" w:hAnsi="Calibri" w:cs="Arial"/>
          <w:color w:val="000000"/>
          <w:sz w:val="24"/>
          <w:szCs w:val="24"/>
          <w:lang w:val="en-US"/>
        </w:rPr>
        <w:t xml:space="preserve">case that must be mentioned </w:t>
      </w:r>
      <w:r w:rsidR="005D0246">
        <w:rPr>
          <w:rFonts w:ascii="Calibri" w:eastAsia="Calibri" w:hAnsi="Calibri" w:cs="Arial"/>
          <w:color w:val="000000"/>
          <w:sz w:val="24"/>
          <w:szCs w:val="24"/>
          <w:lang w:val="en-US"/>
        </w:rPr>
        <w:t xml:space="preserve">in the run-up to </w:t>
      </w:r>
      <w:r w:rsidR="005D0246">
        <w:rPr>
          <w:rFonts w:ascii="Calibri" w:eastAsia="Calibri" w:hAnsi="Calibri" w:cs="Arial"/>
          <w:i/>
          <w:iCs/>
          <w:color w:val="000000"/>
          <w:sz w:val="24"/>
          <w:szCs w:val="24"/>
          <w:lang w:val="en-US"/>
        </w:rPr>
        <w:t xml:space="preserve">Philipp </w:t>
      </w:r>
      <w:r w:rsidR="003A4305">
        <w:rPr>
          <w:rFonts w:ascii="Calibri" w:eastAsia="Calibri" w:hAnsi="Calibri" w:cs="Arial"/>
          <w:color w:val="000000"/>
          <w:sz w:val="24"/>
          <w:szCs w:val="24"/>
          <w:lang w:val="en-US"/>
        </w:rPr>
        <w:t xml:space="preserve">is </w:t>
      </w:r>
      <w:r w:rsidR="003A4305">
        <w:rPr>
          <w:rFonts w:ascii="Calibri" w:eastAsia="Calibri" w:hAnsi="Calibri" w:cs="Arial"/>
          <w:iCs/>
          <w:color w:val="000000"/>
          <w:sz w:val="24"/>
          <w:szCs w:val="24"/>
          <w:lang w:val="en-US"/>
        </w:rPr>
        <w:t xml:space="preserve">the recent UK Supreme Court decision of </w:t>
      </w:r>
      <w:bookmarkStart w:id="26" w:name="_Hlk76826133"/>
      <w:r w:rsidR="00641147" w:rsidRPr="00D531FB">
        <w:rPr>
          <w:rFonts w:ascii="Calibri" w:eastAsia="Calibri" w:hAnsi="Calibri" w:cs="Arial"/>
          <w:i/>
          <w:color w:val="000000"/>
          <w:sz w:val="24"/>
          <w:szCs w:val="24"/>
          <w:lang w:val="en-US"/>
        </w:rPr>
        <w:t>Singularis</w:t>
      </w:r>
      <w:r w:rsidR="00641147" w:rsidRPr="00D531FB">
        <w:rPr>
          <w:rFonts w:ascii="Calibri" w:eastAsia="Calibri" w:hAnsi="Calibri" w:cs="Arial"/>
          <w:i/>
          <w:color w:val="000000"/>
          <w:sz w:val="24"/>
          <w:szCs w:val="24"/>
          <w:lang w:val="en-US"/>
        </w:rPr>
        <w:t xml:space="preserve"> </w:t>
      </w:r>
      <w:r w:rsidR="003A4305" w:rsidRPr="00D531FB">
        <w:rPr>
          <w:rFonts w:ascii="Calibri" w:eastAsia="Calibri" w:hAnsi="Calibri" w:cs="Arial"/>
          <w:i/>
          <w:color w:val="000000"/>
          <w:sz w:val="24"/>
          <w:szCs w:val="24"/>
          <w:lang w:val="en-US"/>
        </w:rPr>
        <w:t>Holdings Ltd (in Official Liquidation) v Daiwa Capital Markets Europe Ltd</w:t>
      </w:r>
      <w:bookmarkEnd w:id="26"/>
      <w:r w:rsidR="003A4305">
        <w:rPr>
          <w:rFonts w:ascii="Calibri" w:eastAsia="Calibri" w:hAnsi="Calibri" w:cs="Arial"/>
          <w:i/>
          <w:color w:val="000000"/>
          <w:sz w:val="24"/>
          <w:szCs w:val="24"/>
          <w:lang w:val="en-US"/>
        </w:rPr>
        <w:t xml:space="preserve"> </w:t>
      </w:r>
      <w:r w:rsidR="003A4305">
        <w:rPr>
          <w:rFonts w:ascii="Calibri" w:eastAsia="Calibri" w:hAnsi="Calibri" w:cs="Arial"/>
          <w:iCs/>
          <w:color w:val="000000"/>
          <w:sz w:val="24"/>
          <w:szCs w:val="24"/>
          <w:lang w:val="en-US"/>
        </w:rPr>
        <w:t>(</w:t>
      </w:r>
      <w:r w:rsidR="003A4305">
        <w:rPr>
          <w:rFonts w:ascii="Calibri" w:eastAsia="Calibri" w:hAnsi="Calibri" w:cs="Arial"/>
          <w:i/>
          <w:color w:val="000000"/>
          <w:sz w:val="24"/>
          <w:szCs w:val="24"/>
          <w:lang w:val="en-US"/>
        </w:rPr>
        <w:t>Singularis</w:t>
      </w:r>
      <w:r w:rsidR="003A4305">
        <w:rPr>
          <w:rFonts w:ascii="Calibri" w:eastAsia="Calibri" w:hAnsi="Calibri" w:cs="Arial"/>
          <w:iCs/>
          <w:color w:val="000000"/>
          <w:sz w:val="24"/>
          <w:szCs w:val="24"/>
          <w:lang w:val="en-US"/>
        </w:rPr>
        <w:t>)</w:t>
      </w:r>
      <w:r w:rsidR="003A4305">
        <w:rPr>
          <w:rFonts w:ascii="Calibri" w:eastAsia="Calibri" w:hAnsi="Calibri" w:cs="Arial"/>
          <w:color w:val="000000"/>
          <w:sz w:val="24"/>
          <w:szCs w:val="24"/>
          <w:lang w:val="en-US"/>
        </w:rPr>
        <w:t>.</w:t>
      </w:r>
      <w:r w:rsidR="003A4305">
        <w:rPr>
          <w:rStyle w:val="FootnoteReference"/>
          <w:rFonts w:ascii="Calibri" w:eastAsia="Calibri" w:hAnsi="Calibri" w:cs="Arial"/>
          <w:color w:val="000000"/>
          <w:sz w:val="24"/>
          <w:szCs w:val="24"/>
          <w:lang w:val="en-US"/>
        </w:rPr>
        <w:footnoteReference w:id="69"/>
      </w:r>
      <w:r w:rsidR="003A4305">
        <w:rPr>
          <w:rFonts w:ascii="Calibri" w:eastAsia="Calibri" w:hAnsi="Calibri" w:cs="Arial"/>
          <w:color w:val="000000"/>
          <w:sz w:val="24"/>
          <w:szCs w:val="24"/>
          <w:lang w:val="en-US"/>
        </w:rPr>
        <w:t xml:space="preserve"> This </w:t>
      </w:r>
      <w:r w:rsidR="00AA5BFE">
        <w:rPr>
          <w:rFonts w:ascii="Calibri" w:eastAsia="Calibri" w:hAnsi="Calibri" w:cs="Arial"/>
          <w:color w:val="000000"/>
          <w:sz w:val="24"/>
          <w:szCs w:val="24"/>
          <w:lang w:val="en-US"/>
        </w:rPr>
        <w:t xml:space="preserve">case </w:t>
      </w:r>
      <w:r w:rsidR="003A4305">
        <w:rPr>
          <w:rFonts w:ascii="Calibri" w:eastAsia="Calibri" w:hAnsi="Calibri" w:cs="Arial"/>
          <w:color w:val="000000"/>
          <w:sz w:val="24"/>
          <w:szCs w:val="24"/>
          <w:lang w:val="en-US"/>
        </w:rPr>
        <w:t>amplified any pre-existing</w:t>
      </w:r>
      <w:r w:rsidR="00AA5BFE">
        <w:rPr>
          <w:rFonts w:ascii="Calibri" w:eastAsia="Calibri" w:hAnsi="Calibri" w:cs="Arial"/>
          <w:color w:val="000000"/>
          <w:sz w:val="24"/>
          <w:szCs w:val="24"/>
          <w:lang w:val="en-US"/>
        </w:rPr>
        <w:t xml:space="preserve"> </w:t>
      </w:r>
      <w:r w:rsidR="00007CEB">
        <w:rPr>
          <w:rFonts w:ascii="Calibri" w:eastAsia="Calibri" w:hAnsi="Calibri" w:cs="Arial"/>
          <w:color w:val="000000"/>
          <w:sz w:val="24"/>
          <w:szCs w:val="24"/>
          <w:lang w:val="en-US"/>
        </w:rPr>
        <w:t xml:space="preserve">perception </w:t>
      </w:r>
      <w:r w:rsidR="003A4305">
        <w:rPr>
          <w:rFonts w:ascii="Calibri" w:eastAsia="Calibri" w:hAnsi="Calibri" w:cs="Arial"/>
          <w:color w:val="000000"/>
          <w:sz w:val="24"/>
          <w:szCs w:val="24"/>
          <w:lang w:val="en-US"/>
        </w:rPr>
        <w:t xml:space="preserve">that </w:t>
      </w:r>
      <w:r w:rsidR="00007CEB">
        <w:rPr>
          <w:rFonts w:ascii="Calibri" w:eastAsia="Calibri" w:hAnsi="Calibri" w:cs="Arial"/>
          <w:color w:val="000000"/>
          <w:sz w:val="24"/>
          <w:szCs w:val="24"/>
          <w:lang w:val="en-US"/>
        </w:rPr>
        <w:t xml:space="preserve">the </w:t>
      </w:r>
      <w:r w:rsidR="00AA5BFE">
        <w:rPr>
          <w:rFonts w:ascii="Calibri" w:eastAsia="Calibri" w:hAnsi="Calibri" w:cs="Arial"/>
          <w:color w:val="000000"/>
          <w:sz w:val="24"/>
          <w:szCs w:val="24"/>
          <w:lang w:val="en-US"/>
        </w:rPr>
        <w:t xml:space="preserve">bank’s duty of care </w:t>
      </w:r>
      <w:r w:rsidR="003A4305">
        <w:rPr>
          <w:rFonts w:ascii="Calibri" w:eastAsia="Calibri" w:hAnsi="Calibri" w:cs="Arial"/>
          <w:color w:val="000000"/>
          <w:sz w:val="24"/>
          <w:szCs w:val="24"/>
          <w:lang w:val="en-US"/>
        </w:rPr>
        <w:t xml:space="preserve">was confined to </w:t>
      </w:r>
      <w:r w:rsidR="00AA5BFE">
        <w:rPr>
          <w:rFonts w:ascii="Calibri" w:eastAsia="Calibri" w:hAnsi="Calibri" w:cs="Arial"/>
          <w:color w:val="000000"/>
          <w:sz w:val="24"/>
          <w:szCs w:val="24"/>
          <w:lang w:val="en-US"/>
        </w:rPr>
        <w:t xml:space="preserve">the </w:t>
      </w:r>
      <w:r w:rsidR="003A4305">
        <w:rPr>
          <w:rFonts w:ascii="Calibri" w:eastAsia="Calibri" w:hAnsi="Calibri" w:cs="Arial"/>
          <w:color w:val="000000"/>
          <w:sz w:val="24"/>
          <w:szCs w:val="24"/>
          <w:lang w:val="en-US"/>
        </w:rPr>
        <w:t>rogue-</w:t>
      </w:r>
      <w:r w:rsidR="00AA5BFE">
        <w:rPr>
          <w:rFonts w:ascii="Calibri" w:eastAsia="Calibri" w:hAnsi="Calibri" w:cs="Arial"/>
          <w:color w:val="000000"/>
          <w:sz w:val="24"/>
          <w:szCs w:val="24"/>
          <w:lang w:val="en-US"/>
        </w:rPr>
        <w:t>agen</w:t>
      </w:r>
      <w:r w:rsidR="003A4305">
        <w:rPr>
          <w:rFonts w:ascii="Calibri" w:eastAsia="Calibri" w:hAnsi="Calibri" w:cs="Arial"/>
          <w:color w:val="000000"/>
          <w:sz w:val="24"/>
          <w:szCs w:val="24"/>
          <w:lang w:val="en-US"/>
        </w:rPr>
        <w:t>t context.</w:t>
      </w:r>
      <w:r w:rsidR="00AA5BFE">
        <w:rPr>
          <w:rFonts w:ascii="Calibri" w:eastAsia="Calibri" w:hAnsi="Calibri" w:cs="Arial"/>
          <w:color w:val="000000"/>
          <w:sz w:val="24"/>
          <w:szCs w:val="24"/>
          <w:lang w:val="en-US"/>
        </w:rPr>
        <w:t xml:space="preserve"> </w:t>
      </w:r>
      <w:r>
        <w:rPr>
          <w:rFonts w:ascii="Calibri" w:eastAsia="Calibri" w:hAnsi="Calibri" w:cs="Arial"/>
          <w:color w:val="000000"/>
          <w:sz w:val="24"/>
          <w:szCs w:val="24"/>
          <w:lang w:val="en-US"/>
        </w:rPr>
        <w:t>In the quite brief discussion of the bank’s duty</w:t>
      </w:r>
      <w:r w:rsidR="00007CEB">
        <w:rPr>
          <w:rFonts w:ascii="Calibri" w:eastAsia="Calibri" w:hAnsi="Calibri" w:cs="Arial"/>
          <w:color w:val="000000"/>
          <w:sz w:val="24"/>
          <w:szCs w:val="24"/>
          <w:lang w:val="en-US"/>
        </w:rPr>
        <w:t xml:space="preserve"> of care</w:t>
      </w:r>
      <w:r>
        <w:rPr>
          <w:rFonts w:ascii="Calibri" w:eastAsia="Calibri" w:hAnsi="Calibri" w:cs="Arial"/>
          <w:color w:val="000000"/>
          <w:sz w:val="24"/>
          <w:szCs w:val="24"/>
          <w:lang w:val="en-US"/>
        </w:rPr>
        <w:t xml:space="preserve">, Lady Hale made </w:t>
      </w:r>
      <w:r w:rsidR="003A4305">
        <w:rPr>
          <w:rFonts w:ascii="Calibri" w:eastAsia="Calibri" w:hAnsi="Calibri" w:cs="Arial"/>
          <w:color w:val="000000"/>
          <w:sz w:val="24"/>
          <w:szCs w:val="24"/>
          <w:lang w:val="en-US"/>
        </w:rPr>
        <w:t xml:space="preserve">the following </w:t>
      </w:r>
      <w:r>
        <w:rPr>
          <w:rFonts w:ascii="Calibri" w:eastAsia="Calibri" w:hAnsi="Calibri" w:cs="Arial"/>
          <w:color w:val="000000"/>
          <w:sz w:val="24"/>
          <w:szCs w:val="24"/>
          <w:lang w:val="en-US"/>
        </w:rPr>
        <w:t xml:space="preserve">two statements: </w:t>
      </w:r>
      <w:r w:rsidR="005D0246">
        <w:rPr>
          <w:rFonts w:ascii="Calibri" w:eastAsia="Calibri" w:hAnsi="Calibri" w:cs="Arial"/>
          <w:color w:val="000000"/>
          <w:sz w:val="24"/>
          <w:szCs w:val="24"/>
          <w:lang w:val="en-US"/>
        </w:rPr>
        <w:t xml:space="preserve">  </w:t>
      </w:r>
    </w:p>
    <w:p w14:paraId="6E5F8CC7" w14:textId="77777777" w:rsidR="00A86A8E" w:rsidRDefault="00A86A8E" w:rsidP="00A86A8E">
      <w:pPr>
        <w:ind w:left="720"/>
        <w:rPr>
          <w:rFonts w:ascii="Calibri" w:eastAsia="Calibri" w:hAnsi="Calibri" w:cs="Arial"/>
          <w:color w:val="000000"/>
          <w:sz w:val="24"/>
          <w:szCs w:val="24"/>
          <w:lang w:val="en-US"/>
        </w:rPr>
      </w:pPr>
      <w:r>
        <w:rPr>
          <w:rFonts w:ascii="Calibri" w:eastAsia="Calibri" w:hAnsi="Calibri" w:cs="Arial"/>
          <w:color w:val="000000"/>
          <w:sz w:val="24"/>
          <w:szCs w:val="24"/>
          <w:lang w:val="en-US"/>
        </w:rPr>
        <w:t>‘</w:t>
      </w:r>
      <w:r w:rsidRPr="004D0028">
        <w:rPr>
          <w:rFonts w:ascii="Calibri" w:eastAsia="Calibri" w:hAnsi="Calibri" w:cs="Arial"/>
          <w:color w:val="000000"/>
          <w:sz w:val="24"/>
          <w:szCs w:val="24"/>
          <w:lang w:val="en-US"/>
        </w:rPr>
        <w:t>the purpose of the Quincecare duty is to protect a bank’s customers from the harm caused by people for whom the customer is, one way or another, responsible.</w:t>
      </w:r>
      <w:r>
        <w:rPr>
          <w:rFonts w:ascii="Calibri" w:eastAsia="Calibri" w:hAnsi="Calibri" w:cs="Arial"/>
          <w:color w:val="000000"/>
          <w:sz w:val="24"/>
          <w:szCs w:val="24"/>
          <w:lang w:val="en-US"/>
        </w:rPr>
        <w:t>’</w:t>
      </w:r>
      <w:r>
        <w:rPr>
          <w:rStyle w:val="FootnoteReference"/>
          <w:rFonts w:ascii="Calibri" w:eastAsia="Calibri" w:hAnsi="Calibri" w:cs="Arial"/>
          <w:color w:val="000000"/>
          <w:sz w:val="24"/>
          <w:szCs w:val="24"/>
          <w:lang w:val="en-US"/>
        </w:rPr>
        <w:footnoteReference w:id="70"/>
      </w:r>
    </w:p>
    <w:p w14:paraId="5D01E7D6" w14:textId="60363E9C" w:rsidR="00A86A8E" w:rsidRDefault="00A86A8E" w:rsidP="00007CEB">
      <w:pPr>
        <w:ind w:left="720"/>
        <w:rPr>
          <w:rFonts w:ascii="Calibri" w:eastAsia="Calibri" w:hAnsi="Calibri" w:cs="Arial"/>
          <w:color w:val="000000"/>
          <w:sz w:val="24"/>
          <w:szCs w:val="24"/>
          <w:lang w:val="en-US"/>
        </w:rPr>
      </w:pPr>
      <w:r>
        <w:rPr>
          <w:rFonts w:ascii="Calibri" w:eastAsia="Calibri" w:hAnsi="Calibri" w:cs="Arial"/>
          <w:color w:val="000000"/>
          <w:sz w:val="24"/>
          <w:szCs w:val="24"/>
          <w:lang w:val="en-US"/>
        </w:rPr>
        <w:t>‘</w:t>
      </w:r>
      <w:r w:rsidRPr="00FE5918">
        <w:rPr>
          <w:rFonts w:ascii="Calibri" w:eastAsia="Calibri" w:hAnsi="Calibri" w:cs="Arial"/>
          <w:color w:val="000000"/>
          <w:sz w:val="24"/>
          <w:szCs w:val="24"/>
          <w:lang w:val="en-US"/>
        </w:rPr>
        <w:t xml:space="preserve">The purpose of that duty is to protect the company against just the sort of misappropriation of its funds as took place here. By definition, this is done by a </w:t>
      </w:r>
      <w:r w:rsidRPr="00FE5918">
        <w:rPr>
          <w:rFonts w:ascii="Calibri" w:eastAsia="Calibri" w:hAnsi="Calibri" w:cs="Arial"/>
          <w:color w:val="000000"/>
          <w:sz w:val="24"/>
          <w:szCs w:val="24"/>
          <w:lang w:val="en-US"/>
        </w:rPr>
        <w:lastRenderedPageBreak/>
        <w:t xml:space="preserve">trusted agent of the company who is </w:t>
      </w:r>
      <w:r w:rsidR="006920FF" w:rsidRPr="00FE5918">
        <w:rPr>
          <w:rFonts w:ascii="Calibri" w:eastAsia="Calibri" w:hAnsi="Calibri" w:cs="Arial"/>
          <w:color w:val="000000"/>
          <w:sz w:val="24"/>
          <w:szCs w:val="24"/>
          <w:lang w:val="en-US"/>
        </w:rPr>
        <w:t>authorized</w:t>
      </w:r>
      <w:r w:rsidRPr="00FE5918">
        <w:rPr>
          <w:rFonts w:ascii="Calibri" w:eastAsia="Calibri" w:hAnsi="Calibri" w:cs="Arial"/>
          <w:color w:val="000000"/>
          <w:sz w:val="24"/>
          <w:szCs w:val="24"/>
          <w:lang w:val="en-US"/>
        </w:rPr>
        <w:t xml:space="preserve"> to withdraw its money from the account.</w:t>
      </w:r>
      <w:r>
        <w:rPr>
          <w:rFonts w:ascii="Calibri" w:eastAsia="Calibri" w:hAnsi="Calibri" w:cs="Arial"/>
          <w:color w:val="000000"/>
          <w:sz w:val="24"/>
          <w:szCs w:val="24"/>
          <w:lang w:val="en-US"/>
        </w:rPr>
        <w:t>’</w:t>
      </w:r>
      <w:r>
        <w:rPr>
          <w:rStyle w:val="FootnoteReference"/>
          <w:rFonts w:ascii="Calibri" w:eastAsia="Calibri" w:hAnsi="Calibri" w:cs="Arial"/>
          <w:color w:val="000000"/>
          <w:sz w:val="24"/>
          <w:szCs w:val="24"/>
          <w:lang w:val="en-US"/>
        </w:rPr>
        <w:footnoteReference w:id="71"/>
      </w:r>
    </w:p>
    <w:p w14:paraId="1AE50E55" w14:textId="5FB93D2F" w:rsidR="00007CEB" w:rsidRPr="006C3617" w:rsidRDefault="00007CEB" w:rsidP="00007CEB">
      <w:pPr>
        <w:rPr>
          <w:rFonts w:ascii="Calibri" w:eastAsia="Calibri" w:hAnsi="Calibri" w:cs="Arial"/>
          <w:color w:val="000000"/>
          <w:sz w:val="24"/>
          <w:szCs w:val="24"/>
        </w:rPr>
      </w:pPr>
      <w:r>
        <w:rPr>
          <w:rFonts w:ascii="Calibri" w:eastAsia="Calibri" w:hAnsi="Calibri" w:cs="Arial"/>
          <w:color w:val="000000"/>
          <w:sz w:val="24"/>
          <w:szCs w:val="24"/>
          <w:lang w:val="en-US"/>
        </w:rPr>
        <w:t>The</w:t>
      </w:r>
      <w:r w:rsidR="003A4305">
        <w:rPr>
          <w:rFonts w:ascii="Calibri" w:eastAsia="Calibri" w:hAnsi="Calibri" w:cs="Arial"/>
          <w:color w:val="000000"/>
          <w:sz w:val="24"/>
          <w:szCs w:val="24"/>
          <w:lang w:val="en-US"/>
        </w:rPr>
        <w:t xml:space="preserve">se statements are not, </w:t>
      </w:r>
      <w:r>
        <w:rPr>
          <w:rFonts w:ascii="Calibri" w:eastAsia="Calibri" w:hAnsi="Calibri" w:cs="Arial"/>
          <w:color w:val="000000"/>
          <w:sz w:val="24"/>
          <w:szCs w:val="24"/>
          <w:lang w:val="en-US"/>
        </w:rPr>
        <w:t>however</w:t>
      </w:r>
      <w:r w:rsidR="003A4305">
        <w:rPr>
          <w:rFonts w:ascii="Calibri" w:eastAsia="Calibri" w:hAnsi="Calibri" w:cs="Arial"/>
          <w:color w:val="000000"/>
          <w:sz w:val="24"/>
          <w:szCs w:val="24"/>
          <w:lang w:val="en-US"/>
        </w:rPr>
        <w:t>,</w:t>
      </w:r>
      <w:r>
        <w:rPr>
          <w:rFonts w:ascii="Calibri" w:eastAsia="Calibri" w:hAnsi="Calibri" w:cs="Arial"/>
          <w:color w:val="000000"/>
          <w:sz w:val="24"/>
          <w:szCs w:val="24"/>
          <w:lang w:val="en-US"/>
        </w:rPr>
        <w:t xml:space="preserve"> strong authority for the proposition that the bank’s duty is restricted to abuse by agents. </w:t>
      </w:r>
      <w:r w:rsidR="005D0246">
        <w:rPr>
          <w:rFonts w:ascii="Calibri" w:eastAsia="Calibri" w:hAnsi="Calibri" w:cs="Arial"/>
          <w:i/>
          <w:iCs/>
          <w:color w:val="000000"/>
          <w:sz w:val="24"/>
          <w:szCs w:val="24"/>
          <w:lang w:val="en-US"/>
        </w:rPr>
        <w:t>Singularis</w:t>
      </w:r>
      <w:r>
        <w:rPr>
          <w:rFonts w:ascii="Calibri" w:eastAsia="Calibri" w:hAnsi="Calibri" w:cs="Arial"/>
          <w:color w:val="000000"/>
          <w:sz w:val="24"/>
          <w:szCs w:val="24"/>
          <w:lang w:val="en-US"/>
        </w:rPr>
        <w:t xml:space="preserve"> was primarily about </w:t>
      </w:r>
      <w:r w:rsidR="00906F00">
        <w:rPr>
          <w:rFonts w:ascii="Calibri" w:eastAsia="Calibri" w:hAnsi="Calibri" w:cs="Arial"/>
          <w:color w:val="000000"/>
          <w:sz w:val="24"/>
          <w:szCs w:val="24"/>
          <w:lang w:val="en-US"/>
        </w:rPr>
        <w:t xml:space="preserve">corporate </w:t>
      </w:r>
      <w:r w:rsidR="005D0246">
        <w:rPr>
          <w:rFonts w:ascii="Calibri" w:eastAsia="Calibri" w:hAnsi="Calibri" w:cs="Arial"/>
          <w:color w:val="000000"/>
          <w:sz w:val="24"/>
          <w:szCs w:val="24"/>
          <w:lang w:val="en-US"/>
        </w:rPr>
        <w:t>attributi</w:t>
      </w:r>
      <w:r w:rsidR="00906F00">
        <w:rPr>
          <w:rFonts w:ascii="Calibri" w:eastAsia="Calibri" w:hAnsi="Calibri" w:cs="Arial"/>
          <w:color w:val="000000"/>
          <w:sz w:val="24"/>
          <w:szCs w:val="24"/>
          <w:lang w:val="en-US"/>
        </w:rPr>
        <w:t>on</w:t>
      </w:r>
      <w:r>
        <w:rPr>
          <w:rFonts w:ascii="Calibri" w:eastAsia="Calibri" w:hAnsi="Calibri" w:cs="Arial"/>
          <w:color w:val="000000"/>
          <w:sz w:val="24"/>
          <w:szCs w:val="24"/>
          <w:lang w:val="en-US"/>
        </w:rPr>
        <w:t xml:space="preserve">. The bank’s duty was a subsidiary point, and as such the scope of the duty and the line of authority discussed here were not </w:t>
      </w:r>
      <w:r w:rsidR="003760F4">
        <w:rPr>
          <w:rFonts w:ascii="Calibri" w:eastAsia="Calibri" w:hAnsi="Calibri" w:cs="Arial"/>
          <w:color w:val="000000"/>
          <w:sz w:val="24"/>
          <w:szCs w:val="24"/>
          <w:lang w:val="en-US"/>
        </w:rPr>
        <w:t>examined</w:t>
      </w:r>
      <w:r>
        <w:rPr>
          <w:rFonts w:ascii="Calibri" w:eastAsia="Calibri" w:hAnsi="Calibri" w:cs="Arial"/>
          <w:color w:val="000000"/>
          <w:sz w:val="24"/>
          <w:szCs w:val="24"/>
          <w:lang w:val="en-US"/>
        </w:rPr>
        <w:t>.</w:t>
      </w:r>
      <w:r w:rsidR="001512EC">
        <w:rPr>
          <w:rFonts w:ascii="Calibri" w:eastAsia="Calibri" w:hAnsi="Calibri" w:cs="Arial"/>
          <w:color w:val="000000"/>
          <w:sz w:val="24"/>
          <w:szCs w:val="24"/>
          <w:lang w:val="en-US"/>
        </w:rPr>
        <w:t xml:space="preserve"> It was also </w:t>
      </w:r>
      <w:r w:rsidR="00906F00">
        <w:rPr>
          <w:rFonts w:ascii="Calibri" w:eastAsia="Calibri" w:hAnsi="Calibri" w:cs="Arial"/>
          <w:color w:val="000000"/>
          <w:sz w:val="24"/>
          <w:szCs w:val="24"/>
          <w:lang w:val="en-US"/>
        </w:rPr>
        <w:t xml:space="preserve">a paradigm </w:t>
      </w:r>
      <w:r w:rsidR="001512EC">
        <w:rPr>
          <w:rFonts w:ascii="Calibri" w:eastAsia="Calibri" w:hAnsi="Calibri" w:cs="Arial"/>
          <w:color w:val="000000"/>
          <w:sz w:val="24"/>
          <w:szCs w:val="24"/>
          <w:lang w:val="en-US"/>
        </w:rPr>
        <w:t xml:space="preserve">case </w:t>
      </w:r>
      <w:r w:rsidR="00906F00">
        <w:rPr>
          <w:rFonts w:ascii="Calibri" w:eastAsia="Calibri" w:hAnsi="Calibri" w:cs="Arial"/>
          <w:color w:val="000000"/>
          <w:sz w:val="24"/>
          <w:szCs w:val="24"/>
          <w:lang w:val="en-US"/>
        </w:rPr>
        <w:t>involving</w:t>
      </w:r>
      <w:r w:rsidR="001512EC">
        <w:rPr>
          <w:rFonts w:ascii="Calibri" w:eastAsia="Calibri" w:hAnsi="Calibri" w:cs="Arial"/>
          <w:color w:val="000000"/>
          <w:sz w:val="24"/>
          <w:szCs w:val="24"/>
          <w:lang w:val="en-US"/>
        </w:rPr>
        <w:t xml:space="preserve"> a rogue-agent and hence </w:t>
      </w:r>
      <w:r w:rsidR="00906F00">
        <w:rPr>
          <w:rFonts w:ascii="Calibri" w:eastAsia="Calibri" w:hAnsi="Calibri" w:cs="Arial"/>
          <w:color w:val="000000"/>
          <w:sz w:val="24"/>
          <w:szCs w:val="24"/>
          <w:lang w:val="en-US"/>
        </w:rPr>
        <w:t>did not raise th</w:t>
      </w:r>
      <w:r w:rsidR="0092717A">
        <w:rPr>
          <w:rFonts w:ascii="Calibri" w:eastAsia="Calibri" w:hAnsi="Calibri" w:cs="Arial"/>
          <w:color w:val="000000"/>
          <w:sz w:val="24"/>
          <w:szCs w:val="24"/>
          <w:lang w:val="en-US"/>
        </w:rPr>
        <w:t xml:space="preserve">e </w:t>
      </w:r>
      <w:r w:rsidR="00906F00">
        <w:rPr>
          <w:rFonts w:ascii="Calibri" w:eastAsia="Calibri" w:hAnsi="Calibri" w:cs="Arial"/>
          <w:color w:val="000000"/>
          <w:sz w:val="24"/>
          <w:szCs w:val="24"/>
          <w:lang w:val="en-US"/>
        </w:rPr>
        <w:t>question</w:t>
      </w:r>
      <w:r w:rsidR="0092717A">
        <w:rPr>
          <w:rFonts w:ascii="Calibri" w:eastAsia="Calibri" w:hAnsi="Calibri" w:cs="Arial"/>
          <w:color w:val="000000"/>
          <w:sz w:val="24"/>
          <w:szCs w:val="24"/>
          <w:lang w:val="en-US"/>
        </w:rPr>
        <w:t xml:space="preserve"> of scope</w:t>
      </w:r>
      <w:r w:rsidR="001512EC">
        <w:rPr>
          <w:rFonts w:ascii="Calibri" w:eastAsia="Calibri" w:hAnsi="Calibri" w:cs="Arial"/>
          <w:color w:val="000000"/>
          <w:sz w:val="24"/>
          <w:szCs w:val="24"/>
          <w:lang w:val="en-US"/>
        </w:rPr>
        <w:t>.</w:t>
      </w:r>
    </w:p>
    <w:p w14:paraId="3A57CFF0" w14:textId="7193E2D7" w:rsidR="00D817A3" w:rsidRPr="00891B16" w:rsidRDefault="00FA7170" w:rsidP="00561368">
      <w:pPr>
        <w:pStyle w:val="ListParagraph"/>
        <w:numPr>
          <w:ilvl w:val="1"/>
          <w:numId w:val="3"/>
        </w:numPr>
        <w:rPr>
          <w:rFonts w:ascii="Calibri" w:eastAsia="Calibri" w:hAnsi="Calibri" w:cs="Arial"/>
          <w:color w:val="000000"/>
          <w:sz w:val="24"/>
          <w:szCs w:val="24"/>
          <w:lang w:val="en-US"/>
        </w:rPr>
      </w:pPr>
      <w:r w:rsidRPr="00891B16">
        <w:rPr>
          <w:rFonts w:ascii="Calibri" w:eastAsia="Calibri" w:hAnsi="Calibri" w:cs="Arial"/>
          <w:color w:val="000000"/>
          <w:sz w:val="24"/>
          <w:szCs w:val="24"/>
          <w:lang w:val="en-US"/>
        </w:rPr>
        <w:t>A</w:t>
      </w:r>
      <w:r w:rsidR="001D7CE8">
        <w:rPr>
          <w:rFonts w:ascii="Calibri" w:eastAsia="Calibri" w:hAnsi="Calibri" w:cs="Arial"/>
          <w:color w:val="000000"/>
          <w:sz w:val="24"/>
          <w:szCs w:val="24"/>
          <w:lang w:val="en-US"/>
        </w:rPr>
        <w:t xml:space="preserve"> Policy </w:t>
      </w:r>
      <w:r w:rsidR="00ED5252" w:rsidRPr="00891B16">
        <w:rPr>
          <w:rFonts w:ascii="Calibri" w:eastAsia="Calibri" w:hAnsi="Calibri" w:cs="Arial"/>
          <w:color w:val="000000"/>
          <w:sz w:val="24"/>
          <w:szCs w:val="24"/>
          <w:lang w:val="en-US"/>
        </w:rPr>
        <w:t xml:space="preserve">Argument </w:t>
      </w:r>
      <w:r w:rsidR="001D7CE8">
        <w:rPr>
          <w:rFonts w:ascii="Calibri" w:eastAsia="Calibri" w:hAnsi="Calibri" w:cs="Arial"/>
          <w:color w:val="000000"/>
          <w:sz w:val="24"/>
          <w:szCs w:val="24"/>
          <w:lang w:val="en-US"/>
        </w:rPr>
        <w:t>in Support of a Broader</w:t>
      </w:r>
      <w:r w:rsidRPr="00891B16">
        <w:rPr>
          <w:rFonts w:ascii="Calibri" w:eastAsia="Calibri" w:hAnsi="Calibri" w:cs="Arial"/>
          <w:color w:val="000000"/>
          <w:sz w:val="24"/>
          <w:szCs w:val="24"/>
          <w:lang w:val="en-US"/>
        </w:rPr>
        <w:t xml:space="preserve"> Duty </w:t>
      </w:r>
    </w:p>
    <w:p w14:paraId="36345251" w14:textId="4CB5445E" w:rsidR="001B736B" w:rsidRDefault="00561368" w:rsidP="00A56A82">
      <w:pPr>
        <w:rPr>
          <w:rFonts w:ascii="Calibri" w:eastAsia="Calibri" w:hAnsi="Calibri" w:cs="Arial"/>
          <w:color w:val="000000"/>
          <w:sz w:val="24"/>
          <w:szCs w:val="24"/>
          <w:lang w:val="en-US"/>
        </w:rPr>
      </w:pPr>
      <w:r>
        <w:rPr>
          <w:rFonts w:ascii="Calibri" w:eastAsia="Calibri" w:hAnsi="Calibri" w:cs="Arial"/>
          <w:color w:val="000000"/>
          <w:sz w:val="24"/>
          <w:szCs w:val="24"/>
          <w:lang w:val="en-US"/>
        </w:rPr>
        <w:t xml:space="preserve">Independently of the argument based on precedent, </w:t>
      </w:r>
      <w:r w:rsidR="001D7CE8">
        <w:rPr>
          <w:rFonts w:ascii="Calibri" w:eastAsia="Calibri" w:hAnsi="Calibri" w:cs="Arial"/>
          <w:color w:val="000000"/>
          <w:sz w:val="24"/>
          <w:szCs w:val="24"/>
          <w:lang w:val="en-US"/>
        </w:rPr>
        <w:t xml:space="preserve">I </w:t>
      </w:r>
      <w:r w:rsidR="00866DE4">
        <w:rPr>
          <w:rFonts w:ascii="Calibri" w:eastAsia="Calibri" w:hAnsi="Calibri" w:cs="Arial"/>
          <w:color w:val="000000"/>
          <w:sz w:val="24"/>
          <w:szCs w:val="24"/>
          <w:lang w:val="en-US"/>
        </w:rPr>
        <w:t xml:space="preserve">argue </w:t>
      </w:r>
      <w:r>
        <w:rPr>
          <w:rFonts w:ascii="Calibri" w:eastAsia="Calibri" w:hAnsi="Calibri" w:cs="Arial"/>
          <w:color w:val="000000"/>
          <w:sz w:val="24"/>
          <w:szCs w:val="24"/>
          <w:lang w:val="en-US"/>
        </w:rPr>
        <w:t>here</w:t>
      </w:r>
      <w:r w:rsidR="00866DE4">
        <w:rPr>
          <w:rFonts w:ascii="Calibri" w:eastAsia="Calibri" w:hAnsi="Calibri" w:cs="Arial"/>
          <w:color w:val="000000"/>
          <w:sz w:val="24"/>
          <w:szCs w:val="24"/>
          <w:lang w:val="en-US"/>
        </w:rPr>
        <w:t xml:space="preserve"> </w:t>
      </w:r>
      <w:r>
        <w:rPr>
          <w:rFonts w:ascii="Calibri" w:eastAsia="Calibri" w:hAnsi="Calibri" w:cs="Arial"/>
          <w:color w:val="000000"/>
          <w:sz w:val="24"/>
          <w:szCs w:val="24"/>
          <w:lang w:val="en-US"/>
        </w:rPr>
        <w:t>from a</w:t>
      </w:r>
      <w:r w:rsidR="00866DE4">
        <w:rPr>
          <w:rFonts w:ascii="Calibri" w:eastAsia="Calibri" w:hAnsi="Calibri" w:cs="Arial"/>
          <w:color w:val="000000"/>
          <w:sz w:val="24"/>
          <w:szCs w:val="24"/>
          <w:lang w:val="en-US"/>
        </w:rPr>
        <w:t xml:space="preserve"> policy</w:t>
      </w:r>
      <w:r w:rsidR="0083176A">
        <w:rPr>
          <w:rFonts w:ascii="Calibri" w:eastAsia="Calibri" w:hAnsi="Calibri" w:cs="Arial"/>
          <w:color w:val="000000"/>
          <w:sz w:val="24"/>
          <w:szCs w:val="24"/>
          <w:lang w:val="en-US"/>
        </w:rPr>
        <w:t xml:space="preserve"> </w:t>
      </w:r>
      <w:r>
        <w:rPr>
          <w:rFonts w:ascii="Calibri" w:eastAsia="Calibri" w:hAnsi="Calibri" w:cs="Arial"/>
          <w:color w:val="000000"/>
          <w:sz w:val="24"/>
          <w:szCs w:val="24"/>
          <w:lang w:val="en-US"/>
        </w:rPr>
        <w:t xml:space="preserve">perspective </w:t>
      </w:r>
      <w:r w:rsidR="0083176A">
        <w:rPr>
          <w:rFonts w:ascii="Calibri" w:eastAsia="Calibri" w:hAnsi="Calibri" w:cs="Arial"/>
          <w:color w:val="000000"/>
          <w:sz w:val="24"/>
          <w:szCs w:val="24"/>
          <w:lang w:val="en-US"/>
        </w:rPr>
        <w:t xml:space="preserve">that the </w:t>
      </w:r>
      <w:r w:rsidR="007C4AA1">
        <w:rPr>
          <w:rFonts w:ascii="Calibri" w:eastAsia="Calibri" w:hAnsi="Calibri" w:cs="Arial"/>
          <w:i/>
          <w:iCs/>
          <w:color w:val="000000"/>
          <w:sz w:val="24"/>
          <w:szCs w:val="24"/>
          <w:lang w:val="en-US"/>
        </w:rPr>
        <w:t xml:space="preserve">Quincecare </w:t>
      </w:r>
      <w:r w:rsidR="0083176A">
        <w:rPr>
          <w:rFonts w:ascii="Calibri" w:eastAsia="Calibri" w:hAnsi="Calibri" w:cs="Arial"/>
          <w:color w:val="000000"/>
          <w:sz w:val="24"/>
          <w:szCs w:val="24"/>
          <w:lang w:val="en-US"/>
        </w:rPr>
        <w:t>duty should not be restricted</w:t>
      </w:r>
      <w:r>
        <w:rPr>
          <w:rFonts w:ascii="Calibri" w:eastAsia="Calibri" w:hAnsi="Calibri" w:cs="Arial"/>
          <w:color w:val="000000"/>
          <w:sz w:val="24"/>
          <w:szCs w:val="24"/>
          <w:lang w:val="en-US"/>
        </w:rPr>
        <w:t xml:space="preserve"> to rogue agents</w:t>
      </w:r>
      <w:r w:rsidR="0083176A">
        <w:rPr>
          <w:rFonts w:ascii="Calibri" w:eastAsia="Calibri" w:hAnsi="Calibri" w:cs="Arial"/>
          <w:color w:val="000000"/>
          <w:sz w:val="24"/>
          <w:szCs w:val="24"/>
          <w:lang w:val="en-US"/>
        </w:rPr>
        <w:t xml:space="preserve">, </w:t>
      </w:r>
      <w:r w:rsidR="00173D4B">
        <w:rPr>
          <w:rFonts w:ascii="Calibri" w:eastAsia="Calibri" w:hAnsi="Calibri" w:cs="Arial"/>
          <w:color w:val="000000"/>
          <w:sz w:val="24"/>
          <w:szCs w:val="24"/>
          <w:lang w:val="en-US"/>
        </w:rPr>
        <w:t xml:space="preserve">and </w:t>
      </w:r>
      <w:r w:rsidR="00866DE4">
        <w:rPr>
          <w:rFonts w:ascii="Calibri" w:eastAsia="Calibri" w:hAnsi="Calibri" w:cs="Arial"/>
          <w:color w:val="000000"/>
          <w:sz w:val="24"/>
          <w:szCs w:val="24"/>
          <w:lang w:val="en-US"/>
        </w:rPr>
        <w:t xml:space="preserve">should </w:t>
      </w:r>
      <w:r>
        <w:rPr>
          <w:rFonts w:ascii="Calibri" w:eastAsia="Calibri" w:hAnsi="Calibri" w:cs="Arial"/>
          <w:color w:val="000000"/>
          <w:sz w:val="24"/>
          <w:szCs w:val="24"/>
          <w:lang w:val="en-US"/>
        </w:rPr>
        <w:t xml:space="preserve">be enabled to </w:t>
      </w:r>
      <w:r w:rsidR="00963F47">
        <w:rPr>
          <w:rFonts w:ascii="Calibri" w:eastAsia="Calibri" w:hAnsi="Calibri" w:cs="Arial"/>
          <w:color w:val="000000"/>
          <w:sz w:val="24"/>
          <w:szCs w:val="24"/>
          <w:lang w:val="en-US"/>
        </w:rPr>
        <w:t xml:space="preserve">play a role in combatting the </w:t>
      </w:r>
      <w:r w:rsidR="0083176A">
        <w:rPr>
          <w:rFonts w:ascii="Calibri" w:eastAsia="Calibri" w:hAnsi="Calibri" w:cs="Arial"/>
          <w:color w:val="000000"/>
          <w:sz w:val="24"/>
          <w:szCs w:val="24"/>
          <w:lang w:val="en-US"/>
        </w:rPr>
        <w:t xml:space="preserve">growing </w:t>
      </w:r>
      <w:r w:rsidR="00963F47">
        <w:rPr>
          <w:rFonts w:ascii="Calibri" w:eastAsia="Calibri" w:hAnsi="Calibri" w:cs="Arial"/>
          <w:color w:val="000000"/>
          <w:sz w:val="24"/>
          <w:szCs w:val="24"/>
          <w:lang w:val="en-US"/>
        </w:rPr>
        <w:t>problem</w:t>
      </w:r>
      <w:r w:rsidR="0083176A">
        <w:rPr>
          <w:rFonts w:ascii="Calibri" w:eastAsia="Calibri" w:hAnsi="Calibri" w:cs="Arial"/>
          <w:color w:val="000000"/>
          <w:sz w:val="24"/>
          <w:szCs w:val="24"/>
          <w:lang w:val="en-US"/>
        </w:rPr>
        <w:t xml:space="preserve"> of authorized </w:t>
      </w:r>
      <w:r w:rsidR="00891B16">
        <w:rPr>
          <w:rFonts w:ascii="Calibri" w:eastAsia="Calibri" w:hAnsi="Calibri" w:cs="Arial"/>
          <w:color w:val="000000"/>
          <w:sz w:val="24"/>
          <w:szCs w:val="24"/>
          <w:lang w:val="en-US"/>
        </w:rPr>
        <w:t>payment scam</w:t>
      </w:r>
      <w:r w:rsidR="0083176A">
        <w:rPr>
          <w:rFonts w:ascii="Calibri" w:eastAsia="Calibri" w:hAnsi="Calibri" w:cs="Arial"/>
          <w:color w:val="000000"/>
          <w:sz w:val="24"/>
          <w:szCs w:val="24"/>
          <w:lang w:val="en-US"/>
        </w:rPr>
        <w:t>s</w:t>
      </w:r>
      <w:r w:rsidR="007C4AA1">
        <w:rPr>
          <w:rFonts w:ascii="Calibri" w:eastAsia="Calibri" w:hAnsi="Calibri" w:cs="Arial"/>
          <w:color w:val="000000"/>
          <w:sz w:val="24"/>
          <w:szCs w:val="24"/>
          <w:lang w:val="en-US"/>
        </w:rPr>
        <w:t xml:space="preserve">. </w:t>
      </w:r>
      <w:r w:rsidR="00E44AD4">
        <w:rPr>
          <w:rFonts w:ascii="Calibri" w:eastAsia="Calibri" w:hAnsi="Calibri" w:cs="Arial"/>
          <w:color w:val="000000"/>
          <w:sz w:val="24"/>
          <w:szCs w:val="24"/>
          <w:lang w:val="en-US"/>
        </w:rPr>
        <w:t xml:space="preserve">Unlike </w:t>
      </w:r>
      <w:r w:rsidR="00E44AD4">
        <w:rPr>
          <w:rFonts w:ascii="Calibri" w:eastAsia="Calibri" w:hAnsi="Calibri" w:cs="Arial"/>
          <w:i/>
          <w:iCs/>
          <w:color w:val="000000"/>
          <w:sz w:val="24"/>
          <w:szCs w:val="24"/>
          <w:lang w:val="en-US"/>
        </w:rPr>
        <w:t>Quincecare</w:t>
      </w:r>
      <w:r w:rsidR="00E44AD4">
        <w:rPr>
          <w:rFonts w:ascii="Calibri" w:eastAsia="Calibri" w:hAnsi="Calibri" w:cs="Arial"/>
          <w:color w:val="000000"/>
          <w:sz w:val="24"/>
          <w:szCs w:val="24"/>
          <w:lang w:val="en-US"/>
        </w:rPr>
        <w:t>,</w:t>
      </w:r>
      <w:r w:rsidR="00E44AD4">
        <w:rPr>
          <w:rFonts w:ascii="Calibri" w:eastAsia="Calibri" w:hAnsi="Calibri" w:cs="Arial"/>
          <w:i/>
          <w:iCs/>
          <w:color w:val="000000"/>
          <w:sz w:val="24"/>
          <w:szCs w:val="24"/>
          <w:lang w:val="en-US"/>
        </w:rPr>
        <w:t xml:space="preserve"> Lipkin Gorman </w:t>
      </w:r>
      <w:r w:rsidR="00E44AD4" w:rsidRPr="00E44AD4">
        <w:rPr>
          <w:rFonts w:ascii="Calibri" w:eastAsia="Calibri" w:hAnsi="Calibri" w:cs="Arial"/>
          <w:color w:val="000000"/>
          <w:sz w:val="24"/>
          <w:szCs w:val="24"/>
          <w:lang w:val="en-US"/>
        </w:rPr>
        <w:t>and</w:t>
      </w:r>
      <w:r w:rsidR="00E44AD4">
        <w:rPr>
          <w:rFonts w:ascii="Calibri" w:eastAsia="Calibri" w:hAnsi="Calibri" w:cs="Arial"/>
          <w:i/>
          <w:iCs/>
          <w:color w:val="000000"/>
          <w:sz w:val="24"/>
          <w:szCs w:val="24"/>
          <w:lang w:val="en-US"/>
        </w:rPr>
        <w:t xml:space="preserve"> Singularis</w:t>
      </w:r>
      <w:r w:rsidR="00E44AD4">
        <w:rPr>
          <w:rFonts w:ascii="Calibri" w:eastAsia="Calibri" w:hAnsi="Calibri" w:cs="Arial"/>
          <w:color w:val="000000"/>
          <w:sz w:val="24"/>
          <w:szCs w:val="24"/>
          <w:lang w:val="en-US"/>
        </w:rPr>
        <w:t>, t</w:t>
      </w:r>
      <w:r w:rsidR="007C4AA1">
        <w:rPr>
          <w:rFonts w:ascii="Calibri" w:eastAsia="Calibri" w:hAnsi="Calibri" w:cs="Arial"/>
          <w:color w:val="000000"/>
          <w:sz w:val="24"/>
          <w:szCs w:val="24"/>
          <w:lang w:val="en-US"/>
        </w:rPr>
        <w:t xml:space="preserve">hese scams </w:t>
      </w:r>
      <w:r w:rsidR="00891B16">
        <w:rPr>
          <w:rFonts w:ascii="Calibri" w:eastAsia="Calibri" w:hAnsi="Calibri" w:cs="Arial"/>
          <w:color w:val="000000"/>
          <w:sz w:val="24"/>
          <w:szCs w:val="24"/>
          <w:lang w:val="en-US"/>
        </w:rPr>
        <w:t xml:space="preserve">typically involve third party </w:t>
      </w:r>
      <w:r w:rsidR="008277F9">
        <w:rPr>
          <w:rFonts w:ascii="Calibri" w:eastAsia="Calibri" w:hAnsi="Calibri" w:cs="Arial"/>
          <w:color w:val="000000"/>
          <w:sz w:val="24"/>
          <w:szCs w:val="24"/>
          <w:lang w:val="en-US"/>
        </w:rPr>
        <w:t>fraudsters</w:t>
      </w:r>
      <w:r w:rsidR="00F70464">
        <w:rPr>
          <w:rFonts w:ascii="Calibri" w:eastAsia="Calibri" w:hAnsi="Calibri" w:cs="Arial"/>
          <w:color w:val="000000"/>
          <w:sz w:val="24"/>
          <w:szCs w:val="24"/>
          <w:lang w:val="en-US"/>
        </w:rPr>
        <w:t>,</w:t>
      </w:r>
      <w:r w:rsidR="0083176A">
        <w:rPr>
          <w:rFonts w:ascii="Calibri" w:eastAsia="Calibri" w:hAnsi="Calibri" w:cs="Arial"/>
          <w:color w:val="000000"/>
          <w:sz w:val="24"/>
          <w:szCs w:val="24"/>
          <w:lang w:val="en-US"/>
        </w:rPr>
        <w:t xml:space="preserve"> not rogue agent</w:t>
      </w:r>
      <w:r w:rsidR="007C4AA1">
        <w:rPr>
          <w:rFonts w:ascii="Calibri" w:eastAsia="Calibri" w:hAnsi="Calibri" w:cs="Arial"/>
          <w:color w:val="000000"/>
          <w:sz w:val="24"/>
          <w:szCs w:val="24"/>
          <w:lang w:val="en-US"/>
        </w:rPr>
        <w:t>s.</w:t>
      </w:r>
      <w:r w:rsidR="00E00657">
        <w:rPr>
          <w:rStyle w:val="FootnoteReference"/>
          <w:rFonts w:ascii="Calibri" w:eastAsia="Calibri" w:hAnsi="Calibri" w:cs="Arial"/>
          <w:color w:val="000000"/>
          <w:sz w:val="24"/>
          <w:szCs w:val="24"/>
          <w:lang w:val="en-US"/>
        </w:rPr>
        <w:footnoteReference w:id="72"/>
      </w:r>
      <w:r w:rsidR="00E44AD4">
        <w:rPr>
          <w:rFonts w:ascii="Calibri" w:eastAsia="Calibri" w:hAnsi="Calibri" w:cs="Arial"/>
          <w:color w:val="000000"/>
          <w:sz w:val="24"/>
          <w:szCs w:val="24"/>
          <w:lang w:val="en-US"/>
        </w:rPr>
        <w:t xml:space="preserve"> </w:t>
      </w:r>
      <w:r w:rsidR="007B502F">
        <w:rPr>
          <w:rFonts w:ascii="Calibri" w:eastAsia="Calibri" w:hAnsi="Calibri" w:cs="Arial"/>
          <w:color w:val="000000"/>
          <w:sz w:val="24"/>
          <w:szCs w:val="24"/>
          <w:lang w:val="en-US"/>
        </w:rPr>
        <w:t xml:space="preserve">Hence the </w:t>
      </w:r>
      <w:r w:rsidR="0083176A">
        <w:rPr>
          <w:rFonts w:ascii="Calibri" w:eastAsia="Calibri" w:hAnsi="Calibri" w:cs="Arial"/>
          <w:color w:val="000000"/>
          <w:sz w:val="24"/>
          <w:szCs w:val="24"/>
          <w:lang w:val="en-US"/>
        </w:rPr>
        <w:t>requirement of a</w:t>
      </w:r>
      <w:r w:rsidR="00F70464">
        <w:rPr>
          <w:rFonts w:ascii="Calibri" w:eastAsia="Calibri" w:hAnsi="Calibri" w:cs="Arial"/>
          <w:color w:val="000000"/>
          <w:sz w:val="24"/>
          <w:szCs w:val="24"/>
          <w:lang w:val="en-US"/>
        </w:rPr>
        <w:t>n</w:t>
      </w:r>
      <w:r w:rsidR="0083176A">
        <w:rPr>
          <w:rFonts w:ascii="Calibri" w:eastAsia="Calibri" w:hAnsi="Calibri" w:cs="Arial"/>
          <w:color w:val="000000"/>
          <w:sz w:val="24"/>
          <w:szCs w:val="24"/>
          <w:lang w:val="en-US"/>
        </w:rPr>
        <w:t xml:space="preserve"> agent</w:t>
      </w:r>
      <w:r w:rsidR="00F70464">
        <w:rPr>
          <w:rFonts w:ascii="Calibri" w:eastAsia="Calibri" w:hAnsi="Calibri" w:cs="Arial"/>
          <w:color w:val="000000"/>
          <w:sz w:val="24"/>
          <w:szCs w:val="24"/>
          <w:lang w:val="en-US"/>
        </w:rPr>
        <w:t xml:space="preserve"> misusing </w:t>
      </w:r>
      <w:r w:rsidR="008277F9">
        <w:rPr>
          <w:rFonts w:ascii="Calibri" w:eastAsia="Calibri" w:hAnsi="Calibri" w:cs="Arial"/>
          <w:color w:val="000000"/>
          <w:sz w:val="24"/>
          <w:szCs w:val="24"/>
          <w:lang w:val="en-US"/>
        </w:rPr>
        <w:t>its a</w:t>
      </w:r>
      <w:r w:rsidR="00F70464">
        <w:rPr>
          <w:rFonts w:ascii="Calibri" w:eastAsia="Calibri" w:hAnsi="Calibri" w:cs="Arial"/>
          <w:color w:val="000000"/>
          <w:sz w:val="24"/>
          <w:szCs w:val="24"/>
          <w:lang w:val="en-US"/>
        </w:rPr>
        <w:t xml:space="preserve">uthority </w:t>
      </w:r>
      <w:r w:rsidR="0083176A">
        <w:rPr>
          <w:rFonts w:ascii="Calibri" w:eastAsia="Calibri" w:hAnsi="Calibri" w:cs="Arial"/>
          <w:color w:val="000000"/>
          <w:sz w:val="24"/>
          <w:szCs w:val="24"/>
          <w:lang w:val="en-US"/>
        </w:rPr>
        <w:t xml:space="preserve">is unlikely to be satisfied in the majority of cases, </w:t>
      </w:r>
      <w:r w:rsidR="00891B16">
        <w:rPr>
          <w:rFonts w:ascii="Calibri" w:eastAsia="Calibri" w:hAnsi="Calibri" w:cs="Arial"/>
          <w:color w:val="000000"/>
          <w:sz w:val="24"/>
          <w:szCs w:val="24"/>
          <w:lang w:val="en-US"/>
        </w:rPr>
        <w:t xml:space="preserve">regardless of whether the victim </w:t>
      </w:r>
      <w:r w:rsidR="00A67F5F">
        <w:rPr>
          <w:rFonts w:ascii="Calibri" w:eastAsia="Calibri" w:hAnsi="Calibri" w:cs="Arial"/>
          <w:color w:val="000000"/>
          <w:sz w:val="24"/>
          <w:szCs w:val="24"/>
          <w:lang w:val="en-US"/>
        </w:rPr>
        <w:t>is an individual or an entity</w:t>
      </w:r>
      <w:r w:rsidR="0083176A">
        <w:rPr>
          <w:rFonts w:ascii="Calibri" w:eastAsia="Calibri" w:hAnsi="Calibri" w:cs="Arial"/>
          <w:color w:val="000000"/>
          <w:sz w:val="24"/>
          <w:szCs w:val="24"/>
          <w:lang w:val="en-US"/>
        </w:rPr>
        <w:t>.</w:t>
      </w:r>
      <w:r w:rsidR="00891B16">
        <w:rPr>
          <w:rStyle w:val="FootnoteReference"/>
          <w:rFonts w:ascii="Calibri" w:eastAsia="Calibri" w:hAnsi="Calibri" w:cs="Arial"/>
          <w:color w:val="000000"/>
          <w:sz w:val="24"/>
          <w:szCs w:val="24"/>
          <w:lang w:val="en-US"/>
        </w:rPr>
        <w:footnoteReference w:id="73"/>
      </w:r>
      <w:r w:rsidR="00891B16">
        <w:rPr>
          <w:rFonts w:ascii="Calibri" w:eastAsia="Calibri" w:hAnsi="Calibri" w:cs="Arial"/>
          <w:color w:val="000000"/>
          <w:sz w:val="24"/>
          <w:szCs w:val="24"/>
          <w:lang w:val="en-US"/>
        </w:rPr>
        <w:t xml:space="preserve"> Even </w:t>
      </w:r>
      <w:r w:rsidR="00E44AD4">
        <w:rPr>
          <w:rFonts w:ascii="Calibri" w:eastAsia="Calibri" w:hAnsi="Calibri" w:cs="Arial"/>
          <w:color w:val="000000"/>
          <w:sz w:val="24"/>
          <w:szCs w:val="24"/>
          <w:lang w:val="en-US"/>
        </w:rPr>
        <w:t xml:space="preserve">for </w:t>
      </w:r>
      <w:r w:rsidR="00891B16">
        <w:rPr>
          <w:rFonts w:ascii="Calibri" w:eastAsia="Calibri" w:hAnsi="Calibri" w:cs="Arial"/>
          <w:color w:val="000000"/>
          <w:sz w:val="24"/>
          <w:szCs w:val="24"/>
          <w:lang w:val="en-US"/>
        </w:rPr>
        <w:t>‘inside jobs’ involving rogue employee</w:t>
      </w:r>
      <w:r w:rsidR="007B502F">
        <w:rPr>
          <w:rFonts w:ascii="Calibri" w:eastAsia="Calibri" w:hAnsi="Calibri" w:cs="Arial"/>
          <w:color w:val="000000"/>
          <w:sz w:val="24"/>
          <w:szCs w:val="24"/>
          <w:lang w:val="en-US"/>
        </w:rPr>
        <w:t xml:space="preserve">s </w:t>
      </w:r>
      <w:r w:rsidR="00891B16">
        <w:rPr>
          <w:rFonts w:ascii="Calibri" w:eastAsia="Calibri" w:hAnsi="Calibri" w:cs="Arial"/>
          <w:color w:val="000000"/>
          <w:sz w:val="24"/>
          <w:szCs w:val="24"/>
          <w:lang w:val="en-US"/>
        </w:rPr>
        <w:t>that</w:t>
      </w:r>
      <w:r w:rsidR="002915EA">
        <w:rPr>
          <w:rFonts w:ascii="Calibri" w:eastAsia="Calibri" w:hAnsi="Calibri" w:cs="Arial"/>
          <w:color w:val="000000"/>
          <w:sz w:val="24"/>
          <w:szCs w:val="24"/>
          <w:lang w:val="en-US"/>
        </w:rPr>
        <w:t xml:space="preserve"> assist in diverting </w:t>
      </w:r>
      <w:r w:rsidR="00891B16">
        <w:rPr>
          <w:rFonts w:ascii="Calibri" w:eastAsia="Calibri" w:hAnsi="Calibri" w:cs="Arial"/>
          <w:color w:val="000000"/>
          <w:sz w:val="24"/>
          <w:szCs w:val="24"/>
          <w:lang w:val="en-US"/>
        </w:rPr>
        <w:t xml:space="preserve">payments </w:t>
      </w:r>
      <w:r w:rsidR="002915EA">
        <w:rPr>
          <w:rFonts w:ascii="Calibri" w:eastAsia="Calibri" w:hAnsi="Calibri" w:cs="Arial"/>
          <w:color w:val="000000"/>
          <w:sz w:val="24"/>
          <w:szCs w:val="24"/>
          <w:lang w:val="en-US"/>
        </w:rPr>
        <w:t>away from genuine recipient</w:t>
      </w:r>
      <w:r w:rsidR="007B502F">
        <w:rPr>
          <w:rFonts w:ascii="Calibri" w:eastAsia="Calibri" w:hAnsi="Calibri" w:cs="Arial"/>
          <w:color w:val="000000"/>
          <w:sz w:val="24"/>
          <w:szCs w:val="24"/>
          <w:lang w:val="en-US"/>
        </w:rPr>
        <w:t>s</w:t>
      </w:r>
      <w:r w:rsidR="00891B16">
        <w:rPr>
          <w:rFonts w:ascii="Calibri" w:eastAsia="Calibri" w:hAnsi="Calibri" w:cs="Arial"/>
          <w:color w:val="000000"/>
          <w:sz w:val="24"/>
          <w:szCs w:val="24"/>
          <w:lang w:val="en-US"/>
        </w:rPr>
        <w:t xml:space="preserve">, the </w:t>
      </w:r>
      <w:r w:rsidR="007C4AA1">
        <w:rPr>
          <w:rFonts w:ascii="Calibri" w:eastAsia="Calibri" w:hAnsi="Calibri" w:cs="Arial"/>
          <w:color w:val="000000"/>
          <w:sz w:val="24"/>
          <w:szCs w:val="24"/>
          <w:lang w:val="en-US"/>
        </w:rPr>
        <w:t xml:space="preserve">payment </w:t>
      </w:r>
      <w:r w:rsidR="002915EA">
        <w:rPr>
          <w:rFonts w:ascii="Calibri" w:eastAsia="Calibri" w:hAnsi="Calibri" w:cs="Arial"/>
          <w:color w:val="000000"/>
          <w:sz w:val="24"/>
          <w:szCs w:val="24"/>
          <w:lang w:val="en-US"/>
        </w:rPr>
        <w:t>auth</w:t>
      </w:r>
      <w:r w:rsidR="00891B16">
        <w:rPr>
          <w:rFonts w:ascii="Calibri" w:eastAsia="Calibri" w:hAnsi="Calibri" w:cs="Arial"/>
          <w:color w:val="000000"/>
          <w:sz w:val="24"/>
          <w:szCs w:val="24"/>
          <w:lang w:val="en-US"/>
        </w:rPr>
        <w:t xml:space="preserve">orization is </w:t>
      </w:r>
      <w:r w:rsidR="00F70464">
        <w:rPr>
          <w:rFonts w:ascii="Calibri" w:eastAsia="Calibri" w:hAnsi="Calibri" w:cs="Arial"/>
          <w:color w:val="000000"/>
          <w:sz w:val="24"/>
          <w:szCs w:val="24"/>
          <w:lang w:val="en-US"/>
        </w:rPr>
        <w:t xml:space="preserve">most </w:t>
      </w:r>
      <w:r w:rsidR="00891B16">
        <w:rPr>
          <w:rFonts w:ascii="Calibri" w:eastAsia="Calibri" w:hAnsi="Calibri" w:cs="Arial"/>
          <w:color w:val="000000"/>
          <w:sz w:val="24"/>
          <w:szCs w:val="24"/>
          <w:lang w:val="en-US"/>
        </w:rPr>
        <w:t>likely to be given by an agent acting honestly</w:t>
      </w:r>
      <w:r w:rsidR="00A67F5F">
        <w:rPr>
          <w:rFonts w:ascii="Calibri" w:eastAsia="Calibri" w:hAnsi="Calibri" w:cs="Arial"/>
          <w:color w:val="000000"/>
          <w:sz w:val="24"/>
          <w:szCs w:val="24"/>
          <w:lang w:val="en-US"/>
        </w:rPr>
        <w:t xml:space="preserve"> but operating under a misapprehension</w:t>
      </w:r>
      <w:r w:rsidR="00891B16">
        <w:rPr>
          <w:rFonts w:ascii="Calibri" w:eastAsia="Calibri" w:hAnsi="Calibri" w:cs="Arial"/>
          <w:color w:val="000000"/>
          <w:sz w:val="24"/>
          <w:szCs w:val="24"/>
          <w:lang w:val="en-US"/>
        </w:rPr>
        <w:t>.</w:t>
      </w:r>
      <w:r w:rsidR="002915EA">
        <w:rPr>
          <w:rFonts w:ascii="Calibri" w:eastAsia="Calibri" w:hAnsi="Calibri" w:cs="Arial"/>
          <w:color w:val="000000"/>
          <w:sz w:val="24"/>
          <w:szCs w:val="24"/>
          <w:lang w:val="en-US"/>
        </w:rPr>
        <w:t xml:space="preserve"> In other words, the </w:t>
      </w:r>
      <w:r w:rsidR="00F70464">
        <w:rPr>
          <w:rFonts w:ascii="Calibri" w:eastAsia="Calibri" w:hAnsi="Calibri" w:cs="Arial"/>
          <w:color w:val="000000"/>
          <w:sz w:val="24"/>
          <w:szCs w:val="24"/>
          <w:lang w:val="en-US"/>
        </w:rPr>
        <w:t>narrow</w:t>
      </w:r>
      <w:r w:rsidR="00723F9A">
        <w:rPr>
          <w:rFonts w:ascii="Calibri" w:eastAsia="Calibri" w:hAnsi="Calibri" w:cs="Arial"/>
          <w:color w:val="000000"/>
          <w:sz w:val="24"/>
          <w:szCs w:val="24"/>
          <w:lang w:val="en-US"/>
        </w:rPr>
        <w:t xml:space="preserve"> formulation of</w:t>
      </w:r>
      <w:r w:rsidR="00010864">
        <w:rPr>
          <w:rFonts w:ascii="Calibri" w:eastAsia="Calibri" w:hAnsi="Calibri" w:cs="Arial"/>
          <w:color w:val="000000"/>
          <w:sz w:val="24"/>
          <w:szCs w:val="24"/>
          <w:lang w:val="en-US"/>
        </w:rPr>
        <w:t xml:space="preserve"> the </w:t>
      </w:r>
      <w:r w:rsidR="00010864">
        <w:rPr>
          <w:rFonts w:ascii="Calibri" w:eastAsia="Calibri" w:hAnsi="Calibri" w:cs="Arial"/>
          <w:i/>
          <w:iCs/>
          <w:color w:val="000000"/>
          <w:sz w:val="24"/>
          <w:szCs w:val="24"/>
          <w:lang w:val="en-US"/>
        </w:rPr>
        <w:t xml:space="preserve">Quincecare </w:t>
      </w:r>
      <w:r w:rsidR="00010864">
        <w:rPr>
          <w:rFonts w:ascii="Calibri" w:eastAsia="Calibri" w:hAnsi="Calibri" w:cs="Arial"/>
          <w:color w:val="000000"/>
          <w:sz w:val="24"/>
          <w:szCs w:val="24"/>
          <w:lang w:val="en-US"/>
        </w:rPr>
        <w:t xml:space="preserve">duty will rarely </w:t>
      </w:r>
      <w:r w:rsidR="007966AD">
        <w:rPr>
          <w:rFonts w:ascii="Calibri" w:eastAsia="Calibri" w:hAnsi="Calibri" w:cs="Arial"/>
          <w:color w:val="000000"/>
          <w:sz w:val="24"/>
          <w:szCs w:val="24"/>
          <w:lang w:val="en-US"/>
        </w:rPr>
        <w:t xml:space="preserve">assist </w:t>
      </w:r>
      <w:r w:rsidR="00010864">
        <w:rPr>
          <w:rFonts w:ascii="Calibri" w:eastAsia="Calibri" w:hAnsi="Calibri" w:cs="Arial"/>
          <w:color w:val="000000"/>
          <w:sz w:val="24"/>
          <w:szCs w:val="24"/>
          <w:lang w:val="en-US"/>
        </w:rPr>
        <w:t>customer</w:t>
      </w:r>
      <w:r w:rsidR="007966AD">
        <w:rPr>
          <w:rFonts w:ascii="Calibri" w:eastAsia="Calibri" w:hAnsi="Calibri" w:cs="Arial"/>
          <w:color w:val="000000"/>
          <w:sz w:val="24"/>
          <w:szCs w:val="24"/>
          <w:lang w:val="en-US"/>
        </w:rPr>
        <w:t>s</w:t>
      </w:r>
      <w:r w:rsidR="008277F9">
        <w:rPr>
          <w:rFonts w:ascii="Calibri" w:eastAsia="Calibri" w:hAnsi="Calibri" w:cs="Arial"/>
          <w:color w:val="000000"/>
          <w:sz w:val="24"/>
          <w:szCs w:val="24"/>
          <w:lang w:val="en-US"/>
        </w:rPr>
        <w:t xml:space="preserve"> in the authorized payment scam scenario</w:t>
      </w:r>
      <w:r w:rsidR="00010864">
        <w:rPr>
          <w:rFonts w:ascii="Calibri" w:eastAsia="Calibri" w:hAnsi="Calibri" w:cs="Arial"/>
          <w:color w:val="000000"/>
          <w:sz w:val="24"/>
          <w:szCs w:val="24"/>
          <w:lang w:val="en-US"/>
        </w:rPr>
        <w:t>.</w:t>
      </w:r>
      <w:r w:rsidR="000A7148">
        <w:rPr>
          <w:rStyle w:val="FootnoteReference"/>
          <w:rFonts w:ascii="Calibri" w:eastAsia="Calibri" w:hAnsi="Calibri" w:cs="Arial"/>
          <w:color w:val="000000"/>
          <w:sz w:val="24"/>
          <w:szCs w:val="24"/>
          <w:lang w:val="en-US"/>
        </w:rPr>
        <w:footnoteReference w:id="74"/>
      </w:r>
      <w:r w:rsidR="00723F9A">
        <w:rPr>
          <w:rFonts w:ascii="Calibri" w:eastAsia="Calibri" w:hAnsi="Calibri" w:cs="Arial"/>
          <w:color w:val="000000"/>
          <w:sz w:val="24"/>
          <w:szCs w:val="24"/>
          <w:lang w:val="en-US"/>
        </w:rPr>
        <w:t xml:space="preserve"> </w:t>
      </w:r>
      <w:r w:rsidR="006C135C">
        <w:rPr>
          <w:rFonts w:ascii="Calibri" w:eastAsia="Calibri" w:hAnsi="Calibri" w:cs="Arial"/>
          <w:color w:val="000000"/>
          <w:sz w:val="24"/>
          <w:szCs w:val="24"/>
          <w:lang w:val="en-US"/>
        </w:rPr>
        <w:t xml:space="preserve">The scale of the </w:t>
      </w:r>
      <w:r w:rsidR="007B502F">
        <w:rPr>
          <w:rFonts w:ascii="Calibri" w:eastAsia="Calibri" w:hAnsi="Calibri" w:cs="Arial"/>
          <w:color w:val="000000"/>
          <w:sz w:val="24"/>
          <w:szCs w:val="24"/>
          <w:lang w:val="en-US"/>
        </w:rPr>
        <w:t xml:space="preserve">scam </w:t>
      </w:r>
      <w:r w:rsidR="006C135C">
        <w:rPr>
          <w:rFonts w:ascii="Calibri" w:eastAsia="Calibri" w:hAnsi="Calibri" w:cs="Arial"/>
          <w:color w:val="000000"/>
          <w:sz w:val="24"/>
          <w:szCs w:val="24"/>
          <w:lang w:val="en-US"/>
        </w:rPr>
        <w:t xml:space="preserve">problem is borne out by the </w:t>
      </w:r>
      <w:r w:rsidR="007966AD">
        <w:rPr>
          <w:rFonts w:ascii="Calibri" w:eastAsia="Calibri" w:hAnsi="Calibri" w:cs="Arial"/>
          <w:color w:val="000000"/>
          <w:sz w:val="24"/>
          <w:szCs w:val="24"/>
          <w:lang w:val="en-US"/>
        </w:rPr>
        <w:t xml:space="preserve">rising number of cases and the </w:t>
      </w:r>
      <w:r w:rsidR="007B502F">
        <w:rPr>
          <w:rFonts w:ascii="Calibri" w:eastAsia="Calibri" w:hAnsi="Calibri" w:cs="Arial"/>
          <w:color w:val="000000"/>
          <w:sz w:val="24"/>
          <w:szCs w:val="24"/>
          <w:lang w:val="en-US"/>
        </w:rPr>
        <w:t xml:space="preserve">large </w:t>
      </w:r>
      <w:r w:rsidR="007966AD">
        <w:rPr>
          <w:rFonts w:ascii="Calibri" w:eastAsia="Calibri" w:hAnsi="Calibri" w:cs="Arial"/>
          <w:color w:val="000000"/>
          <w:sz w:val="24"/>
          <w:szCs w:val="24"/>
          <w:lang w:val="en-US"/>
        </w:rPr>
        <w:t>cumulative losses</w:t>
      </w:r>
      <w:r w:rsidR="006C135C">
        <w:rPr>
          <w:rFonts w:ascii="Calibri" w:eastAsia="Calibri" w:hAnsi="Calibri" w:cs="Arial"/>
          <w:color w:val="000000"/>
          <w:sz w:val="24"/>
          <w:szCs w:val="24"/>
          <w:lang w:val="en-US"/>
        </w:rPr>
        <w:t>,</w:t>
      </w:r>
      <w:r w:rsidR="00641147">
        <w:rPr>
          <w:rStyle w:val="FootnoteReference"/>
          <w:rFonts w:ascii="Calibri" w:eastAsia="Calibri" w:hAnsi="Calibri" w:cs="Arial"/>
          <w:color w:val="000000"/>
          <w:sz w:val="24"/>
          <w:szCs w:val="24"/>
          <w:lang w:val="en-US"/>
        </w:rPr>
        <w:footnoteReference w:id="75"/>
      </w:r>
      <w:r w:rsidR="006C135C">
        <w:rPr>
          <w:rFonts w:ascii="Calibri" w:eastAsia="Calibri" w:hAnsi="Calibri" w:cs="Arial"/>
          <w:color w:val="000000"/>
          <w:sz w:val="24"/>
          <w:szCs w:val="24"/>
          <w:lang w:val="en-US"/>
        </w:rPr>
        <w:t xml:space="preserve"> and the need for </w:t>
      </w:r>
      <w:r w:rsidR="00A67F5F">
        <w:rPr>
          <w:rFonts w:ascii="Calibri" w:eastAsia="Calibri" w:hAnsi="Calibri" w:cs="Arial"/>
          <w:color w:val="000000"/>
          <w:sz w:val="24"/>
          <w:szCs w:val="24"/>
          <w:lang w:val="en-US"/>
        </w:rPr>
        <w:t>action</w:t>
      </w:r>
      <w:r w:rsidR="006C135C">
        <w:rPr>
          <w:rFonts w:ascii="Calibri" w:eastAsia="Calibri" w:hAnsi="Calibri" w:cs="Arial"/>
          <w:color w:val="000000"/>
          <w:sz w:val="24"/>
          <w:szCs w:val="24"/>
          <w:lang w:val="en-US"/>
        </w:rPr>
        <w:t xml:space="preserve"> is confirmed by the response of regulators</w:t>
      </w:r>
      <w:r w:rsidR="007114BC">
        <w:rPr>
          <w:rFonts w:ascii="Calibri" w:eastAsia="Calibri" w:hAnsi="Calibri" w:cs="Arial"/>
          <w:color w:val="000000"/>
          <w:sz w:val="24"/>
          <w:szCs w:val="24"/>
          <w:lang w:val="en-US"/>
        </w:rPr>
        <w:t xml:space="preserve"> in the form of </w:t>
      </w:r>
      <w:r w:rsidR="007966AD">
        <w:rPr>
          <w:rFonts w:ascii="Calibri" w:eastAsia="Calibri" w:hAnsi="Calibri" w:cs="Arial"/>
          <w:color w:val="000000"/>
          <w:sz w:val="24"/>
          <w:szCs w:val="24"/>
          <w:lang w:val="en-US"/>
        </w:rPr>
        <w:t>the C</w:t>
      </w:r>
      <w:r w:rsidR="007114BC">
        <w:rPr>
          <w:rFonts w:ascii="Calibri" w:eastAsia="Calibri" w:hAnsi="Calibri" w:cs="Arial"/>
          <w:color w:val="000000"/>
          <w:sz w:val="24"/>
          <w:szCs w:val="24"/>
          <w:lang w:val="en-US"/>
        </w:rPr>
        <w:t>odes</w:t>
      </w:r>
      <w:r w:rsidR="006C135C">
        <w:rPr>
          <w:rFonts w:ascii="Calibri" w:eastAsia="Calibri" w:hAnsi="Calibri" w:cs="Arial"/>
          <w:color w:val="000000"/>
          <w:sz w:val="24"/>
          <w:szCs w:val="24"/>
          <w:lang w:val="en-US"/>
        </w:rPr>
        <w:t>,</w:t>
      </w:r>
      <w:r w:rsidR="00641147">
        <w:rPr>
          <w:rStyle w:val="FootnoteReference"/>
          <w:rFonts w:ascii="Calibri" w:eastAsia="Calibri" w:hAnsi="Calibri" w:cs="Arial"/>
          <w:color w:val="000000"/>
          <w:sz w:val="24"/>
          <w:szCs w:val="24"/>
          <w:lang w:val="en-US"/>
        </w:rPr>
        <w:footnoteReference w:id="76"/>
      </w:r>
      <w:r w:rsidR="006C135C">
        <w:rPr>
          <w:rFonts w:ascii="Calibri" w:eastAsia="Calibri" w:hAnsi="Calibri" w:cs="Arial"/>
          <w:color w:val="000000"/>
          <w:sz w:val="24"/>
          <w:szCs w:val="24"/>
          <w:lang w:val="en-US"/>
        </w:rPr>
        <w:t xml:space="preserve"> </w:t>
      </w:r>
      <w:r w:rsidR="007114BC">
        <w:rPr>
          <w:rFonts w:ascii="Calibri" w:eastAsia="Calibri" w:hAnsi="Calibri" w:cs="Arial"/>
          <w:color w:val="000000"/>
          <w:sz w:val="24"/>
          <w:szCs w:val="24"/>
          <w:lang w:val="en-US"/>
        </w:rPr>
        <w:t xml:space="preserve">despite which </w:t>
      </w:r>
      <w:r w:rsidR="006C135C">
        <w:rPr>
          <w:rFonts w:ascii="Calibri" w:eastAsia="Calibri" w:hAnsi="Calibri" w:cs="Arial"/>
          <w:color w:val="000000"/>
          <w:sz w:val="24"/>
          <w:szCs w:val="24"/>
          <w:lang w:val="en-US"/>
        </w:rPr>
        <w:t xml:space="preserve">the </w:t>
      </w:r>
      <w:r w:rsidR="007114BC">
        <w:rPr>
          <w:rFonts w:ascii="Calibri" w:eastAsia="Calibri" w:hAnsi="Calibri" w:cs="Arial"/>
          <w:color w:val="000000"/>
          <w:sz w:val="24"/>
          <w:szCs w:val="24"/>
          <w:lang w:val="en-US"/>
        </w:rPr>
        <w:t>incidents and losses have escalated. B</w:t>
      </w:r>
      <w:r w:rsidR="006C135C">
        <w:rPr>
          <w:rFonts w:ascii="Calibri" w:eastAsia="Calibri" w:hAnsi="Calibri" w:cs="Arial"/>
          <w:color w:val="000000"/>
          <w:sz w:val="24"/>
          <w:szCs w:val="24"/>
          <w:lang w:val="en-US"/>
        </w:rPr>
        <w:t>ank</w:t>
      </w:r>
      <w:r w:rsidR="007114BC">
        <w:rPr>
          <w:rFonts w:ascii="Calibri" w:eastAsia="Calibri" w:hAnsi="Calibri" w:cs="Arial"/>
          <w:color w:val="000000"/>
          <w:sz w:val="24"/>
          <w:szCs w:val="24"/>
          <w:lang w:val="en-US"/>
        </w:rPr>
        <w:t xml:space="preserve">s </w:t>
      </w:r>
      <w:r w:rsidR="006C135C">
        <w:rPr>
          <w:rFonts w:ascii="Calibri" w:eastAsia="Calibri" w:hAnsi="Calibri" w:cs="Arial"/>
          <w:color w:val="000000"/>
          <w:sz w:val="24"/>
          <w:szCs w:val="24"/>
          <w:lang w:val="en-US"/>
        </w:rPr>
        <w:t xml:space="preserve">surely </w:t>
      </w:r>
      <w:r w:rsidR="007114BC">
        <w:rPr>
          <w:rFonts w:ascii="Calibri" w:eastAsia="Calibri" w:hAnsi="Calibri" w:cs="Arial"/>
          <w:color w:val="000000"/>
          <w:sz w:val="24"/>
          <w:szCs w:val="24"/>
          <w:lang w:val="en-US"/>
        </w:rPr>
        <w:t xml:space="preserve">have a role to play </w:t>
      </w:r>
      <w:r w:rsidR="00C10819">
        <w:rPr>
          <w:rFonts w:ascii="Calibri" w:eastAsia="Calibri" w:hAnsi="Calibri" w:cs="Arial"/>
          <w:color w:val="000000"/>
          <w:sz w:val="24"/>
          <w:szCs w:val="24"/>
          <w:lang w:val="en-US"/>
        </w:rPr>
        <w:t>in these circumstances</w:t>
      </w:r>
      <w:r w:rsidR="006C135C">
        <w:rPr>
          <w:rFonts w:ascii="Calibri" w:eastAsia="Calibri" w:hAnsi="Calibri" w:cs="Arial"/>
          <w:color w:val="000000"/>
          <w:sz w:val="24"/>
          <w:szCs w:val="24"/>
          <w:lang w:val="en-US"/>
        </w:rPr>
        <w:t>.</w:t>
      </w:r>
      <w:r w:rsidR="00E44AD4">
        <w:rPr>
          <w:rFonts w:ascii="Calibri" w:eastAsia="Calibri" w:hAnsi="Calibri" w:cs="Arial"/>
          <w:color w:val="000000"/>
          <w:sz w:val="24"/>
          <w:szCs w:val="24"/>
          <w:lang w:val="en-US"/>
        </w:rPr>
        <w:t xml:space="preserve"> </w:t>
      </w:r>
    </w:p>
    <w:p w14:paraId="25A03499" w14:textId="6AE0F4E3" w:rsidR="00335020" w:rsidRPr="00A539FC" w:rsidRDefault="007B502F" w:rsidP="00A56A82">
      <w:pPr>
        <w:rPr>
          <w:rFonts w:ascii="Calibri" w:eastAsia="Calibri" w:hAnsi="Calibri" w:cs="Arial"/>
          <w:color w:val="000000"/>
          <w:sz w:val="24"/>
          <w:szCs w:val="24"/>
          <w:lang w:val="en-US"/>
        </w:rPr>
      </w:pPr>
      <w:r>
        <w:rPr>
          <w:rFonts w:ascii="Calibri" w:eastAsia="Calibri" w:hAnsi="Calibri" w:cs="Arial"/>
          <w:color w:val="000000"/>
          <w:sz w:val="24"/>
          <w:szCs w:val="24"/>
          <w:lang w:val="en-US"/>
        </w:rPr>
        <w:t>P</w:t>
      </w:r>
      <w:r w:rsidR="00C10819">
        <w:rPr>
          <w:rFonts w:ascii="Calibri" w:eastAsia="Calibri" w:hAnsi="Calibri" w:cs="Arial"/>
          <w:color w:val="000000"/>
          <w:sz w:val="24"/>
          <w:szCs w:val="24"/>
          <w:lang w:val="en-US"/>
        </w:rPr>
        <w:t xml:space="preserve">ayment efficiency </w:t>
      </w:r>
      <w:r>
        <w:rPr>
          <w:rFonts w:ascii="Calibri" w:eastAsia="Calibri" w:hAnsi="Calibri" w:cs="Arial"/>
          <w:color w:val="000000"/>
          <w:sz w:val="24"/>
          <w:szCs w:val="24"/>
          <w:lang w:val="en-US"/>
        </w:rPr>
        <w:t xml:space="preserve">cannot be ignored. It </w:t>
      </w:r>
      <w:r w:rsidR="00C10819">
        <w:rPr>
          <w:rFonts w:ascii="Calibri" w:eastAsia="Calibri" w:hAnsi="Calibri" w:cs="Arial"/>
          <w:color w:val="000000"/>
          <w:sz w:val="24"/>
          <w:szCs w:val="24"/>
          <w:lang w:val="en-US"/>
        </w:rPr>
        <w:t>is in</w:t>
      </w:r>
      <w:r w:rsidR="007966AD">
        <w:rPr>
          <w:rFonts w:ascii="Calibri" w:eastAsia="Calibri" w:hAnsi="Calibri" w:cs="Arial"/>
          <w:color w:val="000000"/>
          <w:sz w:val="24"/>
          <w:szCs w:val="24"/>
          <w:lang w:val="en-US"/>
        </w:rPr>
        <w:t>deed</w:t>
      </w:r>
      <w:r w:rsidR="00C10819">
        <w:rPr>
          <w:rFonts w:ascii="Calibri" w:eastAsia="Calibri" w:hAnsi="Calibri" w:cs="Arial"/>
          <w:color w:val="000000"/>
          <w:sz w:val="24"/>
          <w:szCs w:val="24"/>
          <w:lang w:val="en-US"/>
        </w:rPr>
        <w:t xml:space="preserve"> important for business and consumer customers alike,</w:t>
      </w:r>
      <w:r w:rsidR="00C10819">
        <w:rPr>
          <w:rStyle w:val="FootnoteReference"/>
          <w:rFonts w:ascii="Calibri" w:eastAsia="Calibri" w:hAnsi="Calibri" w:cs="Arial"/>
          <w:color w:val="000000"/>
          <w:sz w:val="24"/>
          <w:szCs w:val="24"/>
          <w:lang w:val="en-US"/>
        </w:rPr>
        <w:footnoteReference w:id="77"/>
      </w:r>
      <w:r w:rsidR="00C10819">
        <w:rPr>
          <w:rFonts w:ascii="Calibri" w:eastAsia="Calibri" w:hAnsi="Calibri" w:cs="Arial"/>
          <w:color w:val="000000"/>
          <w:sz w:val="24"/>
          <w:szCs w:val="24"/>
          <w:lang w:val="en-US"/>
        </w:rPr>
        <w:t xml:space="preserve"> but </w:t>
      </w:r>
      <w:r w:rsidR="006F418F">
        <w:rPr>
          <w:rFonts w:ascii="Calibri" w:eastAsia="Calibri" w:hAnsi="Calibri" w:cs="Arial"/>
          <w:color w:val="000000"/>
          <w:sz w:val="24"/>
          <w:szCs w:val="24"/>
          <w:lang w:val="en-US"/>
        </w:rPr>
        <w:t xml:space="preserve">there is a countervailing consideration </w:t>
      </w:r>
      <w:r w:rsidR="00C10819">
        <w:rPr>
          <w:rFonts w:ascii="Calibri" w:eastAsia="Calibri" w:hAnsi="Calibri" w:cs="Arial"/>
          <w:color w:val="000000"/>
          <w:sz w:val="24"/>
          <w:szCs w:val="24"/>
          <w:lang w:val="en-US"/>
        </w:rPr>
        <w:t xml:space="preserve">of payment integrity </w:t>
      </w:r>
      <w:r w:rsidR="006F418F">
        <w:rPr>
          <w:rFonts w:ascii="Calibri" w:eastAsia="Calibri" w:hAnsi="Calibri" w:cs="Arial"/>
          <w:color w:val="000000"/>
          <w:sz w:val="24"/>
          <w:szCs w:val="24"/>
          <w:lang w:val="en-US"/>
        </w:rPr>
        <w:t xml:space="preserve">which is </w:t>
      </w:r>
      <w:r w:rsidR="007966AD">
        <w:rPr>
          <w:rFonts w:ascii="Calibri" w:eastAsia="Calibri" w:hAnsi="Calibri" w:cs="Arial"/>
          <w:color w:val="000000"/>
          <w:sz w:val="24"/>
          <w:szCs w:val="24"/>
          <w:lang w:val="en-US"/>
        </w:rPr>
        <w:t>perhaps equally im</w:t>
      </w:r>
      <w:r w:rsidR="006F418F">
        <w:rPr>
          <w:rFonts w:ascii="Calibri" w:eastAsia="Calibri" w:hAnsi="Calibri" w:cs="Arial"/>
          <w:color w:val="000000"/>
          <w:sz w:val="24"/>
          <w:szCs w:val="24"/>
          <w:lang w:val="en-US"/>
        </w:rPr>
        <w:t xml:space="preserve">portant </w:t>
      </w:r>
      <w:r w:rsidR="00C10819">
        <w:rPr>
          <w:rFonts w:ascii="Calibri" w:eastAsia="Calibri" w:hAnsi="Calibri" w:cs="Arial"/>
          <w:color w:val="000000"/>
          <w:sz w:val="24"/>
          <w:szCs w:val="24"/>
          <w:lang w:val="en-US"/>
        </w:rPr>
        <w:t xml:space="preserve">to payment users. The </w:t>
      </w:r>
      <w:r w:rsidR="004A2234">
        <w:rPr>
          <w:rFonts w:ascii="Calibri" w:eastAsia="Calibri" w:hAnsi="Calibri" w:cs="Arial"/>
          <w:color w:val="000000"/>
          <w:sz w:val="24"/>
          <w:szCs w:val="24"/>
          <w:lang w:val="en-US"/>
        </w:rPr>
        <w:t xml:space="preserve">efficiency </w:t>
      </w:r>
      <w:r w:rsidR="00C10819">
        <w:rPr>
          <w:rFonts w:ascii="Calibri" w:eastAsia="Calibri" w:hAnsi="Calibri" w:cs="Arial"/>
          <w:color w:val="000000"/>
          <w:sz w:val="24"/>
          <w:szCs w:val="24"/>
          <w:lang w:val="en-US"/>
        </w:rPr>
        <w:t xml:space="preserve">argument also fails to take account of how the </w:t>
      </w:r>
      <w:r w:rsidR="004A2234">
        <w:rPr>
          <w:rFonts w:ascii="Calibri" w:eastAsia="Calibri" w:hAnsi="Calibri" w:cs="Arial"/>
          <w:i/>
          <w:iCs/>
          <w:color w:val="000000"/>
          <w:sz w:val="24"/>
          <w:szCs w:val="24"/>
          <w:lang w:val="en-US"/>
        </w:rPr>
        <w:t xml:space="preserve">Quincecare </w:t>
      </w:r>
      <w:r w:rsidR="00C10819">
        <w:rPr>
          <w:rFonts w:ascii="Calibri" w:eastAsia="Calibri" w:hAnsi="Calibri" w:cs="Arial"/>
          <w:color w:val="000000"/>
          <w:sz w:val="24"/>
          <w:szCs w:val="24"/>
          <w:lang w:val="en-US"/>
        </w:rPr>
        <w:t xml:space="preserve">duty is calibrated. </w:t>
      </w:r>
      <w:r w:rsidR="006B64B3">
        <w:rPr>
          <w:sz w:val="24"/>
          <w:szCs w:val="24"/>
        </w:rPr>
        <w:t xml:space="preserve">In </w:t>
      </w:r>
      <w:r w:rsidR="006B64B3">
        <w:rPr>
          <w:i/>
          <w:iCs/>
          <w:sz w:val="24"/>
          <w:szCs w:val="24"/>
        </w:rPr>
        <w:t>Singularis</w:t>
      </w:r>
      <w:r w:rsidR="006B64B3">
        <w:rPr>
          <w:sz w:val="24"/>
          <w:szCs w:val="24"/>
        </w:rPr>
        <w:t xml:space="preserve">, Lady Hale twice referred to the </w:t>
      </w:r>
      <w:r w:rsidR="006B64B3">
        <w:rPr>
          <w:i/>
          <w:iCs/>
          <w:sz w:val="24"/>
          <w:szCs w:val="24"/>
        </w:rPr>
        <w:t xml:space="preserve">Quincecare </w:t>
      </w:r>
      <w:r w:rsidR="006B64B3">
        <w:rPr>
          <w:sz w:val="24"/>
          <w:szCs w:val="24"/>
        </w:rPr>
        <w:t>duty as ‘</w:t>
      </w:r>
      <w:r w:rsidR="006B64B3" w:rsidRPr="006B64B3">
        <w:rPr>
          <w:sz w:val="24"/>
          <w:szCs w:val="24"/>
        </w:rPr>
        <w:t>carefully calibrated</w:t>
      </w:r>
      <w:r w:rsidR="006B64B3">
        <w:rPr>
          <w:sz w:val="24"/>
          <w:szCs w:val="24"/>
        </w:rPr>
        <w:t>’</w:t>
      </w:r>
      <w:r w:rsidR="008A1CD6">
        <w:rPr>
          <w:sz w:val="24"/>
          <w:szCs w:val="24"/>
        </w:rPr>
        <w:t>,</w:t>
      </w:r>
      <w:r w:rsidR="006B64B3">
        <w:rPr>
          <w:rStyle w:val="FootnoteReference"/>
          <w:sz w:val="24"/>
          <w:szCs w:val="24"/>
        </w:rPr>
        <w:footnoteReference w:id="78"/>
      </w:r>
      <w:r w:rsidR="006B64B3" w:rsidRPr="00147BF5">
        <w:rPr>
          <w:sz w:val="24"/>
          <w:szCs w:val="24"/>
        </w:rPr>
        <w:t xml:space="preserve"> </w:t>
      </w:r>
      <w:r w:rsidR="008A1CD6">
        <w:rPr>
          <w:sz w:val="24"/>
          <w:szCs w:val="24"/>
        </w:rPr>
        <w:t xml:space="preserve">and it is plain </w:t>
      </w:r>
      <w:r w:rsidR="006C7CF7">
        <w:rPr>
          <w:sz w:val="24"/>
          <w:szCs w:val="24"/>
        </w:rPr>
        <w:t>from past cases that t</w:t>
      </w:r>
      <w:r w:rsidR="006B64B3">
        <w:rPr>
          <w:sz w:val="24"/>
          <w:szCs w:val="24"/>
        </w:rPr>
        <w:t xml:space="preserve">he </w:t>
      </w:r>
      <w:r w:rsidR="006C7CF7">
        <w:rPr>
          <w:sz w:val="24"/>
          <w:szCs w:val="24"/>
        </w:rPr>
        <w:t xml:space="preserve">calibration is </w:t>
      </w:r>
      <w:r w:rsidR="006B64B3">
        <w:rPr>
          <w:sz w:val="24"/>
          <w:szCs w:val="24"/>
        </w:rPr>
        <w:t>conservative</w:t>
      </w:r>
      <w:r w:rsidR="006C7CF7">
        <w:rPr>
          <w:sz w:val="24"/>
          <w:szCs w:val="24"/>
        </w:rPr>
        <w:t xml:space="preserve">. </w:t>
      </w:r>
      <w:r w:rsidR="006C7CF7" w:rsidRPr="00147BF5">
        <w:rPr>
          <w:sz w:val="24"/>
          <w:szCs w:val="24"/>
        </w:rPr>
        <w:t xml:space="preserve">Steyn J </w:t>
      </w:r>
      <w:r w:rsidR="006C7CF7">
        <w:rPr>
          <w:sz w:val="24"/>
          <w:szCs w:val="24"/>
        </w:rPr>
        <w:t xml:space="preserve">in </w:t>
      </w:r>
      <w:r w:rsidR="006C7CF7">
        <w:rPr>
          <w:i/>
          <w:iCs/>
          <w:sz w:val="24"/>
          <w:szCs w:val="24"/>
        </w:rPr>
        <w:t xml:space="preserve">Quincecare </w:t>
      </w:r>
      <w:r w:rsidR="00C40C60" w:rsidRPr="00C40C60">
        <w:rPr>
          <w:sz w:val="24"/>
          <w:szCs w:val="24"/>
        </w:rPr>
        <w:t>described the standard expected of the bank as ‘not too high a standard’</w:t>
      </w:r>
      <w:r w:rsidR="00697276">
        <w:rPr>
          <w:sz w:val="24"/>
          <w:szCs w:val="24"/>
        </w:rPr>
        <w:t>.</w:t>
      </w:r>
      <w:r w:rsidR="006C7CF7">
        <w:rPr>
          <w:rStyle w:val="FootnoteReference"/>
          <w:sz w:val="24"/>
          <w:szCs w:val="24"/>
        </w:rPr>
        <w:footnoteReference w:id="79"/>
      </w:r>
      <w:r w:rsidR="00697276">
        <w:rPr>
          <w:sz w:val="24"/>
          <w:szCs w:val="24"/>
        </w:rPr>
        <w:t xml:space="preserve"> </w:t>
      </w:r>
      <w:r w:rsidR="007F4744">
        <w:rPr>
          <w:rFonts w:ascii="Calibri" w:eastAsia="Calibri" w:hAnsi="Calibri" w:cs="Arial"/>
          <w:i/>
          <w:iCs/>
          <w:color w:val="000000"/>
          <w:sz w:val="24"/>
          <w:szCs w:val="24"/>
          <w:lang w:val="en-US"/>
        </w:rPr>
        <w:t xml:space="preserve">Lipkin </w:t>
      </w:r>
      <w:r w:rsidR="00FC317D">
        <w:rPr>
          <w:rFonts w:ascii="Calibri" w:eastAsia="Calibri" w:hAnsi="Calibri" w:cs="Arial"/>
          <w:i/>
          <w:iCs/>
          <w:color w:val="000000"/>
          <w:sz w:val="24"/>
          <w:szCs w:val="24"/>
          <w:lang w:val="en-US"/>
        </w:rPr>
        <w:t xml:space="preserve">Gorman </w:t>
      </w:r>
      <w:r w:rsidR="007F4744">
        <w:rPr>
          <w:rFonts w:ascii="Calibri" w:eastAsia="Calibri" w:hAnsi="Calibri" w:cs="Arial"/>
          <w:color w:val="000000"/>
          <w:sz w:val="24"/>
          <w:szCs w:val="24"/>
          <w:lang w:val="en-US"/>
        </w:rPr>
        <w:t xml:space="preserve">criticized </w:t>
      </w:r>
      <w:r w:rsidR="00697276">
        <w:rPr>
          <w:rFonts w:ascii="Calibri" w:eastAsia="Calibri" w:hAnsi="Calibri" w:cs="Arial"/>
          <w:i/>
          <w:iCs/>
          <w:color w:val="000000"/>
          <w:sz w:val="24"/>
          <w:szCs w:val="24"/>
          <w:lang w:val="en-US"/>
        </w:rPr>
        <w:t xml:space="preserve">Selangor </w:t>
      </w:r>
      <w:r w:rsidR="00697276">
        <w:rPr>
          <w:rFonts w:ascii="Calibri" w:eastAsia="Calibri" w:hAnsi="Calibri" w:cs="Arial"/>
          <w:color w:val="000000"/>
          <w:sz w:val="24"/>
          <w:szCs w:val="24"/>
          <w:lang w:val="en-US"/>
        </w:rPr>
        <w:t xml:space="preserve">and </w:t>
      </w:r>
      <w:r w:rsidR="00697276">
        <w:rPr>
          <w:rFonts w:ascii="Calibri" w:eastAsia="Calibri" w:hAnsi="Calibri" w:cs="Arial"/>
          <w:i/>
          <w:iCs/>
          <w:color w:val="000000"/>
          <w:sz w:val="24"/>
          <w:szCs w:val="24"/>
          <w:lang w:val="en-US"/>
        </w:rPr>
        <w:t xml:space="preserve">Karak </w:t>
      </w:r>
      <w:r w:rsidR="00697276">
        <w:rPr>
          <w:rFonts w:ascii="Calibri" w:eastAsia="Calibri" w:hAnsi="Calibri" w:cs="Arial"/>
          <w:color w:val="000000"/>
          <w:sz w:val="24"/>
          <w:szCs w:val="24"/>
          <w:lang w:val="en-US"/>
        </w:rPr>
        <w:t xml:space="preserve">for finding breaches by the banks. </w:t>
      </w:r>
      <w:r w:rsidR="00FC317D">
        <w:rPr>
          <w:rFonts w:ascii="Calibri" w:eastAsia="Calibri" w:hAnsi="Calibri" w:cs="Arial"/>
          <w:color w:val="000000"/>
          <w:sz w:val="24"/>
          <w:szCs w:val="24"/>
          <w:lang w:val="en-US"/>
        </w:rPr>
        <w:t xml:space="preserve">May LJ </w:t>
      </w:r>
      <w:r w:rsidR="00FC317D">
        <w:rPr>
          <w:rFonts w:ascii="Calibri" w:eastAsia="Calibri" w:hAnsi="Calibri" w:cs="Arial"/>
          <w:color w:val="000000"/>
          <w:sz w:val="24"/>
          <w:szCs w:val="24"/>
        </w:rPr>
        <w:t>emphasised that the duty operates only exceptionally, or rarely:</w:t>
      </w:r>
      <w:r w:rsidR="00FC317D">
        <w:rPr>
          <w:rStyle w:val="FootnoteReference"/>
          <w:rFonts w:ascii="Calibri" w:eastAsia="Calibri" w:hAnsi="Calibri" w:cs="Arial"/>
          <w:color w:val="000000"/>
          <w:sz w:val="24"/>
          <w:szCs w:val="24"/>
        </w:rPr>
        <w:footnoteReference w:id="80"/>
      </w:r>
      <w:r w:rsidR="00FC317D">
        <w:rPr>
          <w:rFonts w:ascii="Calibri" w:eastAsia="Calibri" w:hAnsi="Calibri" w:cs="Arial"/>
          <w:color w:val="000000"/>
          <w:sz w:val="24"/>
          <w:szCs w:val="24"/>
        </w:rPr>
        <w:t xml:space="preserve"> the bank’s role in making payments is ‘</w:t>
      </w:r>
      <w:r w:rsidR="00FC317D" w:rsidRPr="00CD778D">
        <w:rPr>
          <w:rFonts w:ascii="Calibri" w:eastAsia="Calibri" w:hAnsi="Calibri" w:cs="Arial"/>
          <w:color w:val="000000"/>
          <w:sz w:val="24"/>
          <w:szCs w:val="24"/>
        </w:rPr>
        <w:t>largely automatic or mechanical</w:t>
      </w:r>
      <w:r w:rsidR="00FC317D">
        <w:rPr>
          <w:rFonts w:ascii="Calibri" w:eastAsia="Calibri" w:hAnsi="Calibri" w:cs="Arial"/>
          <w:color w:val="000000"/>
          <w:sz w:val="24"/>
          <w:szCs w:val="24"/>
        </w:rPr>
        <w:t xml:space="preserve">’ and does </w:t>
      </w:r>
      <w:r w:rsidR="00FC317D">
        <w:rPr>
          <w:rFonts w:ascii="Calibri" w:eastAsia="Calibri" w:hAnsi="Calibri" w:cs="Arial"/>
          <w:color w:val="000000"/>
          <w:sz w:val="24"/>
          <w:szCs w:val="24"/>
        </w:rPr>
        <w:lastRenderedPageBreak/>
        <w:t>not require the bank ‘</w:t>
      </w:r>
      <w:r w:rsidR="00FC317D" w:rsidRPr="00CD778D">
        <w:rPr>
          <w:rFonts w:ascii="Calibri" w:eastAsia="Calibri" w:hAnsi="Calibri" w:cs="Arial"/>
          <w:color w:val="000000"/>
          <w:sz w:val="24"/>
          <w:szCs w:val="24"/>
        </w:rPr>
        <w:t>to consider the commercial wisdom</w:t>
      </w:r>
      <w:r w:rsidR="00FC317D">
        <w:rPr>
          <w:rFonts w:ascii="Calibri" w:eastAsia="Calibri" w:hAnsi="Calibri" w:cs="Arial"/>
          <w:color w:val="000000"/>
          <w:sz w:val="24"/>
          <w:szCs w:val="24"/>
        </w:rPr>
        <w:t>’ of the</w:t>
      </w:r>
      <w:r w:rsidR="00FC317D" w:rsidRPr="00CD778D">
        <w:rPr>
          <w:rFonts w:ascii="Calibri" w:eastAsia="Calibri" w:hAnsi="Calibri" w:cs="Arial"/>
          <w:color w:val="000000"/>
          <w:sz w:val="24"/>
          <w:szCs w:val="24"/>
        </w:rPr>
        <w:t xml:space="preserve"> transaction</w:t>
      </w:r>
      <w:r w:rsidR="00FC317D">
        <w:rPr>
          <w:rFonts w:ascii="Calibri" w:eastAsia="Calibri" w:hAnsi="Calibri" w:cs="Arial"/>
          <w:color w:val="000000"/>
          <w:sz w:val="24"/>
          <w:szCs w:val="24"/>
        </w:rPr>
        <w:t>.</w:t>
      </w:r>
      <w:r w:rsidR="00FC317D">
        <w:rPr>
          <w:rStyle w:val="FootnoteReference"/>
          <w:rFonts w:ascii="Calibri" w:eastAsia="Calibri" w:hAnsi="Calibri" w:cs="Arial"/>
          <w:color w:val="000000"/>
          <w:sz w:val="24"/>
          <w:szCs w:val="24"/>
        </w:rPr>
        <w:footnoteReference w:id="81"/>
      </w:r>
      <w:r w:rsidR="00FC317D">
        <w:rPr>
          <w:rFonts w:ascii="Calibri" w:eastAsia="Calibri" w:hAnsi="Calibri" w:cs="Arial"/>
          <w:color w:val="000000"/>
          <w:sz w:val="24"/>
          <w:szCs w:val="24"/>
        </w:rPr>
        <w:t xml:space="preserve"> Parker LJ, with whom Nicholls LJ agreed, </w:t>
      </w:r>
      <w:r w:rsidR="00F833BC">
        <w:rPr>
          <w:rFonts w:ascii="Calibri" w:eastAsia="Calibri" w:hAnsi="Calibri" w:cs="Arial"/>
          <w:color w:val="000000"/>
          <w:sz w:val="24"/>
          <w:szCs w:val="24"/>
        </w:rPr>
        <w:t>said</w:t>
      </w:r>
      <w:r w:rsidR="00FC317D">
        <w:rPr>
          <w:rFonts w:ascii="Calibri" w:eastAsia="Calibri" w:hAnsi="Calibri" w:cs="Arial"/>
          <w:color w:val="000000"/>
          <w:sz w:val="24"/>
          <w:szCs w:val="24"/>
        </w:rPr>
        <w:t xml:space="preserve"> that a bank could not be expected to monitor accounts where signing powers might be abused</w:t>
      </w:r>
      <w:r w:rsidR="00FC317D" w:rsidRPr="00CD778D">
        <w:rPr>
          <w:rFonts w:ascii="Calibri" w:eastAsia="Calibri" w:hAnsi="Calibri" w:cs="Arial"/>
          <w:color w:val="000000"/>
          <w:sz w:val="24"/>
          <w:szCs w:val="24"/>
        </w:rPr>
        <w:t>.</w:t>
      </w:r>
      <w:r w:rsidR="00FC317D">
        <w:rPr>
          <w:rStyle w:val="FootnoteReference"/>
          <w:rFonts w:ascii="Calibri" w:eastAsia="Calibri" w:hAnsi="Calibri" w:cs="Arial"/>
          <w:color w:val="000000"/>
          <w:sz w:val="24"/>
          <w:szCs w:val="24"/>
        </w:rPr>
        <w:footnoteReference w:id="82"/>
      </w:r>
    </w:p>
    <w:p w14:paraId="6225B503" w14:textId="77777777" w:rsidR="007B502F" w:rsidRDefault="00697276" w:rsidP="00F833BC">
      <w:pPr>
        <w:rPr>
          <w:rFonts w:ascii="Calibri" w:eastAsia="Calibri" w:hAnsi="Calibri" w:cs="Arial"/>
          <w:color w:val="000000"/>
          <w:sz w:val="24"/>
          <w:szCs w:val="24"/>
          <w:lang w:val="en-US"/>
        </w:rPr>
      </w:pPr>
      <w:r>
        <w:rPr>
          <w:rFonts w:ascii="Calibri" w:eastAsia="Calibri" w:hAnsi="Calibri" w:cs="Arial"/>
          <w:color w:val="000000"/>
          <w:sz w:val="24"/>
          <w:szCs w:val="24"/>
          <w:lang w:val="en-US"/>
        </w:rPr>
        <w:t xml:space="preserve">The </w:t>
      </w:r>
      <w:r w:rsidR="00FC317D">
        <w:rPr>
          <w:rFonts w:ascii="Calibri" w:eastAsia="Calibri" w:hAnsi="Calibri" w:cs="Arial"/>
          <w:color w:val="000000"/>
          <w:sz w:val="24"/>
          <w:szCs w:val="24"/>
          <w:lang w:val="en-US"/>
        </w:rPr>
        <w:t>clear</w:t>
      </w:r>
      <w:r w:rsidR="00F576AE">
        <w:rPr>
          <w:rFonts w:ascii="Calibri" w:eastAsia="Calibri" w:hAnsi="Calibri" w:cs="Arial"/>
          <w:color w:val="000000"/>
          <w:sz w:val="24"/>
          <w:szCs w:val="24"/>
          <w:lang w:val="en-US"/>
        </w:rPr>
        <w:t xml:space="preserve"> </w:t>
      </w:r>
      <w:r>
        <w:rPr>
          <w:rFonts w:ascii="Calibri" w:eastAsia="Calibri" w:hAnsi="Calibri" w:cs="Arial"/>
          <w:color w:val="000000"/>
          <w:sz w:val="24"/>
          <w:szCs w:val="24"/>
          <w:lang w:val="en-US"/>
        </w:rPr>
        <w:t xml:space="preserve">message is </w:t>
      </w:r>
      <w:r w:rsidR="00F05AFD">
        <w:rPr>
          <w:rFonts w:ascii="Calibri" w:eastAsia="Calibri" w:hAnsi="Calibri" w:cs="Arial"/>
          <w:color w:val="000000"/>
          <w:sz w:val="24"/>
          <w:szCs w:val="24"/>
          <w:lang w:val="en-US"/>
        </w:rPr>
        <w:t xml:space="preserve">that the </w:t>
      </w:r>
      <w:r>
        <w:rPr>
          <w:rFonts w:ascii="Calibri" w:eastAsia="Calibri" w:hAnsi="Calibri" w:cs="Arial"/>
          <w:color w:val="000000"/>
          <w:sz w:val="24"/>
          <w:szCs w:val="24"/>
          <w:lang w:val="en-US"/>
        </w:rPr>
        <w:t xml:space="preserve">governing </w:t>
      </w:r>
      <w:r w:rsidR="00F05AFD">
        <w:rPr>
          <w:rFonts w:ascii="Calibri" w:eastAsia="Calibri" w:hAnsi="Calibri" w:cs="Arial"/>
          <w:color w:val="000000"/>
          <w:sz w:val="24"/>
          <w:szCs w:val="24"/>
          <w:lang w:val="en-US"/>
        </w:rPr>
        <w:t xml:space="preserve">standard of the </w:t>
      </w:r>
      <w:r>
        <w:rPr>
          <w:rFonts w:ascii="Calibri" w:eastAsia="Calibri" w:hAnsi="Calibri" w:cs="Arial"/>
          <w:color w:val="000000"/>
          <w:sz w:val="24"/>
          <w:szCs w:val="24"/>
          <w:lang w:val="en-US"/>
        </w:rPr>
        <w:t>ordinary</w:t>
      </w:r>
      <w:r w:rsidR="00F05AFD">
        <w:rPr>
          <w:rFonts w:ascii="Calibri" w:eastAsia="Calibri" w:hAnsi="Calibri" w:cs="Arial"/>
          <w:color w:val="000000"/>
          <w:sz w:val="24"/>
          <w:szCs w:val="24"/>
          <w:lang w:val="en-US"/>
        </w:rPr>
        <w:t xml:space="preserve"> prudent bank</w:t>
      </w:r>
      <w:r w:rsidR="00335020">
        <w:rPr>
          <w:rFonts w:ascii="Calibri" w:eastAsia="Calibri" w:hAnsi="Calibri" w:cs="Arial"/>
          <w:color w:val="000000"/>
          <w:sz w:val="24"/>
          <w:szCs w:val="24"/>
          <w:lang w:val="en-US"/>
        </w:rPr>
        <w:t xml:space="preserve"> </w:t>
      </w:r>
      <w:r w:rsidR="001B736B">
        <w:rPr>
          <w:rFonts w:ascii="Calibri" w:eastAsia="Calibri" w:hAnsi="Calibri" w:cs="Arial"/>
          <w:color w:val="000000"/>
          <w:sz w:val="24"/>
          <w:szCs w:val="24"/>
          <w:lang w:val="en-US"/>
        </w:rPr>
        <w:t>should not be onerous or disruptive</w:t>
      </w:r>
      <w:r>
        <w:rPr>
          <w:rFonts w:ascii="Calibri" w:eastAsia="Calibri" w:hAnsi="Calibri" w:cs="Arial"/>
          <w:color w:val="000000"/>
          <w:sz w:val="24"/>
          <w:szCs w:val="24"/>
          <w:lang w:val="en-US"/>
        </w:rPr>
        <w:t>.</w:t>
      </w:r>
      <w:r w:rsidR="00335020">
        <w:rPr>
          <w:rFonts w:ascii="Calibri" w:eastAsia="Calibri" w:hAnsi="Calibri" w:cs="Arial"/>
          <w:color w:val="000000"/>
          <w:sz w:val="24"/>
          <w:szCs w:val="24"/>
          <w:lang w:val="en-US"/>
        </w:rPr>
        <w:t xml:space="preserve"> </w:t>
      </w:r>
      <w:r w:rsidR="00167432">
        <w:rPr>
          <w:rFonts w:ascii="Calibri" w:eastAsia="Calibri" w:hAnsi="Calibri" w:cs="Arial"/>
          <w:color w:val="000000"/>
          <w:sz w:val="24"/>
          <w:szCs w:val="24"/>
          <w:lang w:val="en-US"/>
        </w:rPr>
        <w:t xml:space="preserve">As stated by the High Court in </w:t>
      </w:r>
      <w:r w:rsidR="00167432" w:rsidRPr="00167432">
        <w:rPr>
          <w:rFonts w:ascii="Calibri" w:eastAsia="Calibri" w:hAnsi="Calibri" w:cs="Arial"/>
          <w:i/>
          <w:iCs/>
          <w:color w:val="000000"/>
          <w:sz w:val="24"/>
          <w:szCs w:val="24"/>
        </w:rPr>
        <w:t>The Federal Republic of Nigeria v JP Morgan Chase Bank</w:t>
      </w:r>
      <w:r w:rsidR="00167432" w:rsidRPr="001D27E3">
        <w:rPr>
          <w:rFonts w:ascii="Calibri" w:eastAsia="Calibri" w:hAnsi="Calibri" w:cs="Arial"/>
          <w:color w:val="000000"/>
          <w:sz w:val="24"/>
          <w:szCs w:val="24"/>
        </w:rPr>
        <w:t xml:space="preserve">, </w:t>
      </w:r>
      <w:r w:rsidR="00EF0640" w:rsidRPr="001D27E3">
        <w:rPr>
          <w:rFonts w:ascii="Calibri" w:eastAsia="Calibri" w:hAnsi="Calibri" w:cs="Arial"/>
          <w:color w:val="000000"/>
          <w:sz w:val="24"/>
          <w:szCs w:val="24"/>
        </w:rPr>
        <w:t>t</w:t>
      </w:r>
      <w:r w:rsidR="0028464C" w:rsidRPr="001D27E3">
        <w:rPr>
          <w:rFonts w:ascii="Calibri" w:eastAsia="Calibri" w:hAnsi="Calibri" w:cs="Arial"/>
          <w:color w:val="000000"/>
          <w:sz w:val="24"/>
          <w:szCs w:val="24"/>
          <w:lang w:val="en-US"/>
        </w:rPr>
        <w:t xml:space="preserve">he </w:t>
      </w:r>
      <w:r w:rsidR="001D27E3" w:rsidRPr="001D27E3">
        <w:rPr>
          <w:rFonts w:ascii="Calibri" w:eastAsia="Calibri" w:hAnsi="Calibri" w:cs="Arial"/>
          <w:color w:val="000000"/>
          <w:sz w:val="24"/>
          <w:szCs w:val="24"/>
          <w:lang w:val="en-US"/>
        </w:rPr>
        <w:t>standard of ‘what an ordinary prudent banker would regard as reasonable enquiries’ prevents the</w:t>
      </w:r>
      <w:r w:rsidR="00EF0640" w:rsidRPr="001D27E3">
        <w:rPr>
          <w:rFonts w:ascii="Calibri" w:eastAsia="Calibri" w:hAnsi="Calibri" w:cs="Arial"/>
          <w:color w:val="000000"/>
          <w:sz w:val="24"/>
          <w:szCs w:val="24"/>
          <w:lang w:val="en-US"/>
        </w:rPr>
        <w:t xml:space="preserve"> </w:t>
      </w:r>
      <w:r w:rsidR="0028464C" w:rsidRPr="001D27E3">
        <w:rPr>
          <w:rFonts w:ascii="Calibri" w:eastAsia="Calibri" w:hAnsi="Calibri" w:cs="Arial"/>
          <w:color w:val="000000"/>
          <w:sz w:val="24"/>
          <w:szCs w:val="24"/>
          <w:lang w:val="en-US"/>
        </w:rPr>
        <w:t xml:space="preserve">duty </w:t>
      </w:r>
      <w:r w:rsidR="001D27E3" w:rsidRPr="001D27E3">
        <w:rPr>
          <w:rFonts w:ascii="Calibri" w:eastAsia="Calibri" w:hAnsi="Calibri" w:cs="Arial"/>
          <w:color w:val="000000"/>
          <w:sz w:val="24"/>
          <w:szCs w:val="24"/>
          <w:lang w:val="en-US"/>
        </w:rPr>
        <w:t>from becoming ‘undul</w:t>
      </w:r>
      <w:r w:rsidR="0028464C" w:rsidRPr="001D27E3">
        <w:rPr>
          <w:rFonts w:ascii="Calibri" w:eastAsia="Calibri" w:hAnsi="Calibri" w:cs="Arial"/>
          <w:color w:val="000000"/>
          <w:sz w:val="24"/>
          <w:szCs w:val="24"/>
          <w:lang w:val="en-US"/>
        </w:rPr>
        <w:t>y onerous</w:t>
      </w:r>
      <w:r w:rsidR="001D27E3" w:rsidRPr="001D27E3">
        <w:rPr>
          <w:rFonts w:ascii="Calibri" w:eastAsia="Calibri" w:hAnsi="Calibri" w:cs="Arial"/>
          <w:color w:val="000000"/>
          <w:sz w:val="24"/>
          <w:szCs w:val="24"/>
          <w:lang w:val="en-US"/>
        </w:rPr>
        <w:t>’</w:t>
      </w:r>
      <w:r w:rsidR="00B13FD3">
        <w:rPr>
          <w:rFonts w:ascii="Calibri" w:eastAsia="Calibri" w:hAnsi="Calibri" w:cs="Arial"/>
          <w:color w:val="000000"/>
          <w:sz w:val="24"/>
          <w:szCs w:val="24"/>
          <w:lang w:val="en-US"/>
        </w:rPr>
        <w:t>,</w:t>
      </w:r>
      <w:r w:rsidR="00EF0640" w:rsidRPr="001D27E3">
        <w:rPr>
          <w:rStyle w:val="FootnoteReference"/>
          <w:rFonts w:ascii="Calibri" w:eastAsia="Calibri" w:hAnsi="Calibri" w:cs="Arial"/>
          <w:color w:val="000000"/>
          <w:sz w:val="24"/>
          <w:szCs w:val="24"/>
          <w:lang w:val="en-US"/>
        </w:rPr>
        <w:footnoteReference w:id="83"/>
      </w:r>
      <w:r w:rsidR="0028464C">
        <w:rPr>
          <w:rFonts w:ascii="Calibri" w:eastAsia="Calibri" w:hAnsi="Calibri" w:cs="Arial"/>
          <w:color w:val="000000"/>
          <w:sz w:val="24"/>
          <w:szCs w:val="24"/>
          <w:lang w:val="en-US"/>
        </w:rPr>
        <w:t xml:space="preserve"> </w:t>
      </w:r>
      <w:r w:rsidR="00B13FD3">
        <w:rPr>
          <w:rFonts w:ascii="Calibri" w:eastAsia="Calibri" w:hAnsi="Calibri" w:cs="Arial"/>
          <w:color w:val="000000"/>
          <w:sz w:val="24"/>
          <w:szCs w:val="24"/>
          <w:lang w:val="en-US"/>
        </w:rPr>
        <w:t xml:space="preserve">and </w:t>
      </w:r>
      <w:r w:rsidR="0054597A">
        <w:rPr>
          <w:rFonts w:ascii="Calibri" w:eastAsia="Calibri" w:hAnsi="Calibri" w:cs="Arial"/>
          <w:color w:val="000000"/>
          <w:sz w:val="24"/>
          <w:szCs w:val="24"/>
          <w:lang w:val="en-US"/>
        </w:rPr>
        <w:t>ensures that it does not hinder everyday banking operations</w:t>
      </w:r>
      <w:r w:rsidR="00B13FD3">
        <w:rPr>
          <w:rFonts w:ascii="Calibri" w:eastAsia="Calibri" w:hAnsi="Calibri" w:cs="Arial"/>
          <w:color w:val="000000"/>
          <w:sz w:val="24"/>
          <w:szCs w:val="24"/>
          <w:lang w:val="en-US"/>
        </w:rPr>
        <w:t xml:space="preserve">. That standard </w:t>
      </w:r>
      <w:r>
        <w:rPr>
          <w:rFonts w:ascii="Calibri" w:eastAsia="Calibri" w:hAnsi="Calibri" w:cs="Arial"/>
          <w:color w:val="000000"/>
          <w:sz w:val="24"/>
          <w:szCs w:val="24"/>
          <w:lang w:val="en-US"/>
        </w:rPr>
        <w:t>serve</w:t>
      </w:r>
      <w:r w:rsidR="00DD2F9D">
        <w:rPr>
          <w:rFonts w:ascii="Calibri" w:eastAsia="Calibri" w:hAnsi="Calibri" w:cs="Arial"/>
          <w:color w:val="000000"/>
          <w:sz w:val="24"/>
          <w:szCs w:val="24"/>
          <w:lang w:val="en-US"/>
        </w:rPr>
        <w:t>s</w:t>
      </w:r>
      <w:r>
        <w:rPr>
          <w:rFonts w:ascii="Calibri" w:eastAsia="Calibri" w:hAnsi="Calibri" w:cs="Arial"/>
          <w:color w:val="000000"/>
          <w:sz w:val="24"/>
          <w:szCs w:val="24"/>
          <w:lang w:val="en-US"/>
        </w:rPr>
        <w:t xml:space="preserve"> as an effective restraint </w:t>
      </w:r>
      <w:r w:rsidR="00DD2F9D">
        <w:rPr>
          <w:rFonts w:ascii="Calibri" w:eastAsia="Calibri" w:hAnsi="Calibri" w:cs="Arial"/>
          <w:color w:val="000000"/>
          <w:sz w:val="24"/>
          <w:szCs w:val="24"/>
          <w:lang w:val="en-US"/>
        </w:rPr>
        <w:t>on</w:t>
      </w:r>
      <w:r>
        <w:rPr>
          <w:rFonts w:ascii="Calibri" w:eastAsia="Calibri" w:hAnsi="Calibri" w:cs="Arial"/>
          <w:color w:val="000000"/>
          <w:sz w:val="24"/>
          <w:szCs w:val="24"/>
          <w:lang w:val="en-US"/>
        </w:rPr>
        <w:t xml:space="preserve"> the duty </w:t>
      </w:r>
      <w:r w:rsidR="00DD2F9D">
        <w:rPr>
          <w:rFonts w:ascii="Calibri" w:eastAsia="Calibri" w:hAnsi="Calibri" w:cs="Arial"/>
          <w:color w:val="000000"/>
          <w:sz w:val="24"/>
          <w:szCs w:val="24"/>
          <w:lang w:val="en-US"/>
        </w:rPr>
        <w:t xml:space="preserve">in the context of </w:t>
      </w:r>
      <w:r w:rsidR="00B13FD3">
        <w:rPr>
          <w:rFonts w:ascii="Calibri" w:eastAsia="Calibri" w:hAnsi="Calibri" w:cs="Arial"/>
          <w:color w:val="000000"/>
          <w:sz w:val="24"/>
          <w:szCs w:val="24"/>
          <w:lang w:val="en-US"/>
        </w:rPr>
        <w:t>authorized payment scams</w:t>
      </w:r>
      <w:r w:rsidR="00F833BC">
        <w:rPr>
          <w:rFonts w:ascii="Calibri" w:eastAsia="Calibri" w:hAnsi="Calibri" w:cs="Arial"/>
          <w:color w:val="000000"/>
          <w:sz w:val="24"/>
          <w:szCs w:val="24"/>
          <w:lang w:val="en-US"/>
        </w:rPr>
        <w:t>, and should allay fears about the duty compromising the efficiency of payment systems</w:t>
      </w:r>
      <w:r>
        <w:rPr>
          <w:rFonts w:ascii="Calibri" w:eastAsia="Calibri" w:hAnsi="Calibri" w:cs="Arial"/>
          <w:color w:val="000000"/>
          <w:sz w:val="24"/>
          <w:szCs w:val="24"/>
          <w:lang w:val="en-US"/>
        </w:rPr>
        <w:t>.</w:t>
      </w:r>
      <w:r w:rsidR="00E24A71">
        <w:rPr>
          <w:rStyle w:val="FootnoteReference"/>
          <w:rFonts w:ascii="Calibri" w:eastAsia="Calibri" w:hAnsi="Calibri" w:cs="Arial"/>
          <w:color w:val="000000"/>
          <w:sz w:val="24"/>
          <w:szCs w:val="24"/>
          <w:lang w:val="en-US"/>
        </w:rPr>
        <w:footnoteReference w:id="84"/>
      </w:r>
      <w:r w:rsidR="00E24A71">
        <w:rPr>
          <w:rFonts w:ascii="Calibri" w:eastAsia="Calibri" w:hAnsi="Calibri" w:cs="Arial"/>
          <w:color w:val="000000"/>
          <w:sz w:val="24"/>
          <w:szCs w:val="24"/>
          <w:lang w:val="en-US"/>
        </w:rPr>
        <w:t xml:space="preserve"> </w:t>
      </w:r>
    </w:p>
    <w:p w14:paraId="5AC71F8B" w14:textId="28EBFB97" w:rsidR="00056957" w:rsidRPr="00F833BC" w:rsidRDefault="0066388E" w:rsidP="00F833BC">
      <w:pPr>
        <w:rPr>
          <w:rFonts w:ascii="Calibri" w:eastAsia="Calibri" w:hAnsi="Calibri" w:cs="Arial"/>
          <w:color w:val="000000"/>
          <w:sz w:val="24"/>
          <w:szCs w:val="24"/>
          <w:lang w:val="en-US"/>
        </w:rPr>
      </w:pPr>
      <w:r>
        <w:rPr>
          <w:rFonts w:ascii="Calibri" w:eastAsia="Calibri" w:hAnsi="Calibri" w:cs="Arial"/>
          <w:color w:val="000000"/>
          <w:sz w:val="24"/>
          <w:szCs w:val="24"/>
          <w:lang w:val="en-US"/>
        </w:rPr>
        <w:t xml:space="preserve">For this reason, some of the specific and detailed measures alleged to be required of Barclays in </w:t>
      </w:r>
      <w:r w:rsidRPr="00056957">
        <w:rPr>
          <w:rFonts w:ascii="Calibri" w:eastAsia="Calibri" w:hAnsi="Calibri" w:cs="Arial"/>
          <w:i/>
          <w:iCs/>
          <w:color w:val="000000"/>
          <w:sz w:val="24"/>
          <w:szCs w:val="24"/>
          <w:lang w:val="en-US"/>
        </w:rPr>
        <w:t>Philipp</w:t>
      </w:r>
      <w:r>
        <w:rPr>
          <w:rFonts w:ascii="Calibri" w:eastAsia="Calibri" w:hAnsi="Calibri" w:cs="Arial"/>
          <w:color w:val="000000"/>
          <w:sz w:val="24"/>
          <w:szCs w:val="24"/>
          <w:lang w:val="en-US"/>
        </w:rPr>
        <w:t xml:space="preserve"> are unlikely to arise under a common law duty. </w:t>
      </w:r>
      <w:r>
        <w:rPr>
          <w:sz w:val="24"/>
          <w:szCs w:val="24"/>
        </w:rPr>
        <w:t xml:space="preserve">Russen QC is right that some measures require </w:t>
      </w:r>
      <w:r w:rsidR="007B502F">
        <w:rPr>
          <w:sz w:val="24"/>
          <w:szCs w:val="24"/>
        </w:rPr>
        <w:t>industry-led or even regulatory intervention</w:t>
      </w:r>
      <w:r>
        <w:rPr>
          <w:sz w:val="24"/>
          <w:szCs w:val="24"/>
        </w:rPr>
        <w:t xml:space="preserve"> so that banks know how investigative they should be.</w:t>
      </w:r>
      <w:r>
        <w:rPr>
          <w:rStyle w:val="FootnoteReference"/>
          <w:rFonts w:ascii="Calibri" w:eastAsia="Calibri" w:hAnsi="Calibri" w:cs="Arial"/>
          <w:color w:val="000000"/>
          <w:sz w:val="24"/>
          <w:szCs w:val="24"/>
          <w:lang w:val="en-US"/>
        </w:rPr>
        <w:footnoteReference w:id="85"/>
      </w:r>
      <w:r>
        <w:rPr>
          <w:rFonts w:ascii="Calibri" w:eastAsia="Calibri" w:hAnsi="Calibri" w:cs="Arial"/>
          <w:color w:val="000000"/>
          <w:sz w:val="24"/>
          <w:szCs w:val="24"/>
          <w:lang w:val="en-US"/>
        </w:rPr>
        <w:t xml:space="preserve"> At the same time,</w:t>
      </w:r>
      <w:r w:rsidR="002359DF">
        <w:rPr>
          <w:rFonts w:ascii="Calibri" w:eastAsia="Calibri" w:hAnsi="Calibri" w:cs="Arial"/>
          <w:color w:val="000000"/>
          <w:sz w:val="24"/>
          <w:szCs w:val="24"/>
          <w:lang w:val="en-US"/>
        </w:rPr>
        <w:t xml:space="preserve"> </w:t>
      </w:r>
      <w:r w:rsidR="000F0E89">
        <w:rPr>
          <w:rFonts w:ascii="Calibri" w:eastAsia="Calibri" w:hAnsi="Calibri" w:cs="Arial"/>
          <w:color w:val="000000"/>
          <w:sz w:val="24"/>
          <w:szCs w:val="24"/>
          <w:lang w:val="en-US"/>
        </w:rPr>
        <w:t xml:space="preserve">if the bank’s evidence in </w:t>
      </w:r>
      <w:r w:rsidR="000F0E89">
        <w:rPr>
          <w:rFonts w:ascii="Calibri" w:eastAsia="Calibri" w:hAnsi="Calibri" w:cs="Arial"/>
          <w:i/>
          <w:iCs/>
          <w:color w:val="000000"/>
          <w:sz w:val="24"/>
          <w:szCs w:val="24"/>
          <w:lang w:val="en-US"/>
        </w:rPr>
        <w:t xml:space="preserve">Philipp </w:t>
      </w:r>
      <w:r w:rsidR="000F0E89">
        <w:rPr>
          <w:rFonts w:ascii="Calibri" w:eastAsia="Calibri" w:hAnsi="Calibri" w:cs="Arial"/>
          <w:color w:val="000000"/>
          <w:sz w:val="24"/>
          <w:szCs w:val="24"/>
          <w:lang w:val="en-US"/>
        </w:rPr>
        <w:t xml:space="preserve">is accepted, it appears that they do have procedures designed to </w:t>
      </w:r>
      <w:r w:rsidR="000F0E89" w:rsidRPr="000F0E89">
        <w:rPr>
          <w:rFonts w:ascii="Calibri" w:eastAsia="Calibri" w:hAnsi="Calibri" w:cs="Arial"/>
          <w:color w:val="000000"/>
          <w:sz w:val="24"/>
          <w:szCs w:val="24"/>
          <w:lang w:val="en-US"/>
        </w:rPr>
        <w:t>safeguard</w:t>
      </w:r>
      <w:r w:rsidR="000F0E89">
        <w:rPr>
          <w:rFonts w:ascii="Calibri" w:eastAsia="Calibri" w:hAnsi="Calibri" w:cs="Arial"/>
          <w:color w:val="000000"/>
          <w:sz w:val="24"/>
          <w:szCs w:val="24"/>
          <w:lang w:val="en-US"/>
        </w:rPr>
        <w:t xml:space="preserve"> customers</w:t>
      </w:r>
      <w:r w:rsidR="000F0E89" w:rsidRPr="000F0E89">
        <w:rPr>
          <w:rFonts w:ascii="Calibri" w:eastAsia="Calibri" w:hAnsi="Calibri" w:cs="Arial"/>
          <w:color w:val="000000"/>
          <w:sz w:val="24"/>
          <w:szCs w:val="24"/>
          <w:lang w:val="en-US"/>
        </w:rPr>
        <w:t xml:space="preserve"> against </w:t>
      </w:r>
      <w:r w:rsidR="000F0E89">
        <w:rPr>
          <w:rFonts w:ascii="Calibri" w:eastAsia="Calibri" w:hAnsi="Calibri" w:cs="Arial"/>
          <w:color w:val="000000"/>
          <w:sz w:val="24"/>
          <w:szCs w:val="24"/>
          <w:lang w:val="en-US"/>
        </w:rPr>
        <w:t>scams, particularly larger ones.</w:t>
      </w:r>
      <w:r w:rsidR="000F0E89">
        <w:rPr>
          <w:rStyle w:val="FootnoteReference"/>
          <w:rFonts w:ascii="Calibri" w:eastAsia="Calibri" w:hAnsi="Calibri" w:cs="Arial"/>
          <w:color w:val="000000"/>
          <w:sz w:val="24"/>
          <w:szCs w:val="24"/>
          <w:lang w:val="en-US"/>
        </w:rPr>
        <w:footnoteReference w:id="86"/>
      </w:r>
      <w:r w:rsidR="000F0E89">
        <w:rPr>
          <w:rFonts w:ascii="Calibri" w:eastAsia="Calibri" w:hAnsi="Calibri" w:cs="Arial"/>
          <w:color w:val="000000"/>
          <w:sz w:val="24"/>
          <w:szCs w:val="24"/>
          <w:lang w:val="en-US"/>
        </w:rPr>
        <w:t xml:space="preserve"> In other words, it appears </w:t>
      </w:r>
      <w:r w:rsidR="002359DF">
        <w:rPr>
          <w:rFonts w:ascii="Calibri" w:eastAsia="Calibri" w:hAnsi="Calibri" w:cs="Arial"/>
          <w:color w:val="000000"/>
          <w:sz w:val="24"/>
          <w:szCs w:val="24"/>
          <w:lang w:val="en-US"/>
        </w:rPr>
        <w:t>that reasonably prudent banks are not</w:t>
      </w:r>
      <w:r w:rsidR="000F0E89">
        <w:rPr>
          <w:rFonts w:ascii="Calibri" w:eastAsia="Calibri" w:hAnsi="Calibri" w:cs="Arial"/>
          <w:color w:val="000000"/>
          <w:sz w:val="24"/>
          <w:szCs w:val="24"/>
          <w:lang w:val="en-US"/>
        </w:rPr>
        <w:t xml:space="preserve"> </w:t>
      </w:r>
      <w:r w:rsidR="002359DF">
        <w:rPr>
          <w:rFonts w:ascii="Calibri" w:eastAsia="Calibri" w:hAnsi="Calibri" w:cs="Arial"/>
          <w:color w:val="000000"/>
          <w:sz w:val="24"/>
          <w:szCs w:val="24"/>
          <w:lang w:val="en-US"/>
        </w:rPr>
        <w:t>passive</w:t>
      </w:r>
      <w:r w:rsidR="000F0E89">
        <w:rPr>
          <w:rFonts w:ascii="Calibri" w:eastAsia="Calibri" w:hAnsi="Calibri" w:cs="Arial"/>
          <w:color w:val="000000"/>
          <w:sz w:val="24"/>
          <w:szCs w:val="24"/>
          <w:lang w:val="en-US"/>
        </w:rPr>
        <w:t xml:space="preserve"> about accepting all apparently genuine payment instructions.</w:t>
      </w:r>
      <w:r w:rsidR="002359DF">
        <w:rPr>
          <w:rFonts w:ascii="Calibri" w:eastAsia="Calibri" w:hAnsi="Calibri" w:cs="Arial"/>
          <w:color w:val="000000"/>
          <w:sz w:val="24"/>
          <w:szCs w:val="24"/>
          <w:lang w:val="en-US"/>
        </w:rPr>
        <w:t xml:space="preserve">  </w:t>
      </w:r>
    </w:p>
    <w:p w14:paraId="788D2EA8" w14:textId="39CF1917" w:rsidR="00DA1A60" w:rsidRDefault="00A72757" w:rsidP="00056957">
      <w:pPr>
        <w:rPr>
          <w:iCs/>
          <w:sz w:val="24"/>
          <w:szCs w:val="24"/>
          <w:lang w:val="en-US"/>
        </w:rPr>
      </w:pPr>
      <w:r>
        <w:rPr>
          <w:iCs/>
          <w:sz w:val="24"/>
          <w:szCs w:val="24"/>
          <w:lang w:val="en-US"/>
        </w:rPr>
        <w:t xml:space="preserve">Further afield, </w:t>
      </w:r>
      <w:r w:rsidR="00E24A71">
        <w:rPr>
          <w:iCs/>
          <w:sz w:val="24"/>
          <w:szCs w:val="24"/>
          <w:lang w:val="en-US"/>
        </w:rPr>
        <w:t>t</w:t>
      </w:r>
      <w:r w:rsidR="00BC52A4">
        <w:rPr>
          <w:iCs/>
          <w:sz w:val="24"/>
          <w:szCs w:val="24"/>
          <w:lang w:val="en-US"/>
        </w:rPr>
        <w:t xml:space="preserve">he Singapore case of </w:t>
      </w:r>
      <w:bookmarkStart w:id="33" w:name="_Hlk75098985"/>
      <w:r w:rsidR="00BC52A4" w:rsidRPr="00590EF2">
        <w:rPr>
          <w:i/>
          <w:sz w:val="24"/>
          <w:szCs w:val="24"/>
          <w:lang w:val="en-US"/>
        </w:rPr>
        <w:t xml:space="preserve">Hsu Ann Mei </w:t>
      </w:r>
      <w:bookmarkEnd w:id="33"/>
      <w:r w:rsidR="00BC52A4" w:rsidRPr="00590EF2">
        <w:rPr>
          <w:i/>
          <w:sz w:val="24"/>
          <w:szCs w:val="24"/>
          <w:lang w:val="en-US"/>
        </w:rPr>
        <w:t>Amy v OCBC</w:t>
      </w:r>
      <w:r w:rsidR="00BC52A4">
        <w:rPr>
          <w:sz w:val="24"/>
          <w:szCs w:val="24"/>
          <w:lang w:val="en-US"/>
        </w:rPr>
        <w:t xml:space="preserve"> </w:t>
      </w:r>
      <w:r w:rsidR="001932C6">
        <w:rPr>
          <w:sz w:val="24"/>
          <w:szCs w:val="24"/>
          <w:lang w:val="en-US"/>
        </w:rPr>
        <w:t>(</w:t>
      </w:r>
      <w:r w:rsidR="001932C6" w:rsidRPr="00590EF2">
        <w:rPr>
          <w:i/>
          <w:sz w:val="24"/>
          <w:szCs w:val="24"/>
          <w:lang w:val="en-US"/>
        </w:rPr>
        <w:t>Hsu Ann Mei</w:t>
      </w:r>
      <w:r w:rsidR="001932C6">
        <w:rPr>
          <w:sz w:val="24"/>
          <w:szCs w:val="24"/>
          <w:lang w:val="en-US"/>
        </w:rPr>
        <w:t>)</w:t>
      </w:r>
      <w:r>
        <w:rPr>
          <w:sz w:val="24"/>
          <w:szCs w:val="24"/>
          <w:lang w:val="en-US"/>
        </w:rPr>
        <w:t xml:space="preserve"> is instructive. It </w:t>
      </w:r>
      <w:r w:rsidR="00E24A71">
        <w:rPr>
          <w:sz w:val="24"/>
          <w:szCs w:val="24"/>
          <w:lang w:val="en-US"/>
        </w:rPr>
        <w:t xml:space="preserve">involved </w:t>
      </w:r>
      <w:r w:rsidR="005D6A94">
        <w:rPr>
          <w:sz w:val="24"/>
          <w:szCs w:val="24"/>
          <w:lang w:val="en-US"/>
        </w:rPr>
        <w:t xml:space="preserve">a less </w:t>
      </w:r>
      <w:r w:rsidR="007C58B3">
        <w:rPr>
          <w:sz w:val="24"/>
          <w:szCs w:val="24"/>
          <w:lang w:val="en-US"/>
        </w:rPr>
        <w:t>typical factual scenario</w:t>
      </w:r>
      <w:r w:rsidR="00DD2F9D">
        <w:rPr>
          <w:sz w:val="24"/>
          <w:szCs w:val="24"/>
          <w:lang w:val="en-US"/>
        </w:rPr>
        <w:t xml:space="preserve"> </w:t>
      </w:r>
      <w:r w:rsidR="00E24A71">
        <w:rPr>
          <w:sz w:val="24"/>
          <w:szCs w:val="24"/>
          <w:lang w:val="en-US"/>
        </w:rPr>
        <w:t xml:space="preserve">and </w:t>
      </w:r>
      <w:r w:rsidR="00DD2F9D">
        <w:rPr>
          <w:sz w:val="24"/>
          <w:szCs w:val="24"/>
          <w:lang w:val="en-US"/>
        </w:rPr>
        <w:t xml:space="preserve">reinforces the value in a </w:t>
      </w:r>
      <w:r>
        <w:rPr>
          <w:sz w:val="24"/>
          <w:szCs w:val="24"/>
          <w:lang w:val="en-US"/>
        </w:rPr>
        <w:t xml:space="preserve">more holistic </w:t>
      </w:r>
      <w:r w:rsidR="00C57C5B">
        <w:rPr>
          <w:i/>
          <w:iCs/>
          <w:sz w:val="24"/>
          <w:szCs w:val="24"/>
          <w:lang w:val="en-US"/>
        </w:rPr>
        <w:t xml:space="preserve">Quincecare </w:t>
      </w:r>
      <w:r w:rsidR="00DD2F9D">
        <w:rPr>
          <w:sz w:val="24"/>
          <w:szCs w:val="24"/>
          <w:lang w:val="en-US"/>
        </w:rPr>
        <w:t>duty</w:t>
      </w:r>
      <w:r w:rsidR="007C58B3">
        <w:rPr>
          <w:sz w:val="24"/>
          <w:szCs w:val="24"/>
          <w:lang w:val="en-US"/>
        </w:rPr>
        <w:t>.</w:t>
      </w:r>
      <w:r w:rsidR="007C58B3">
        <w:rPr>
          <w:rStyle w:val="FootnoteReference"/>
          <w:sz w:val="24"/>
          <w:szCs w:val="24"/>
          <w:lang w:val="en-US"/>
        </w:rPr>
        <w:footnoteReference w:id="87"/>
      </w:r>
      <w:r w:rsidR="00590EF2">
        <w:rPr>
          <w:sz w:val="24"/>
          <w:szCs w:val="24"/>
          <w:lang w:val="en-US"/>
        </w:rPr>
        <w:t xml:space="preserve"> </w:t>
      </w:r>
      <w:r w:rsidR="007C58B3">
        <w:rPr>
          <w:sz w:val="24"/>
          <w:szCs w:val="24"/>
          <w:lang w:val="en-US"/>
        </w:rPr>
        <w:t xml:space="preserve">The </w:t>
      </w:r>
      <w:r w:rsidR="000D4BDC">
        <w:rPr>
          <w:sz w:val="24"/>
          <w:szCs w:val="24"/>
          <w:lang w:val="en-US"/>
        </w:rPr>
        <w:t xml:space="preserve">elderly </w:t>
      </w:r>
      <w:r w:rsidR="007C58B3">
        <w:rPr>
          <w:sz w:val="24"/>
          <w:szCs w:val="24"/>
          <w:lang w:val="en-US"/>
        </w:rPr>
        <w:t>customer</w:t>
      </w:r>
      <w:r w:rsidR="000D4BDC">
        <w:rPr>
          <w:sz w:val="24"/>
          <w:szCs w:val="24"/>
          <w:lang w:val="en-US"/>
        </w:rPr>
        <w:t xml:space="preserve">, who suffered from some level of dementia, </w:t>
      </w:r>
      <w:r w:rsidR="00AA19A9">
        <w:rPr>
          <w:sz w:val="24"/>
          <w:szCs w:val="24"/>
          <w:lang w:val="en-US"/>
        </w:rPr>
        <w:t xml:space="preserve">signed forms </w:t>
      </w:r>
      <w:r w:rsidR="005D6A94">
        <w:rPr>
          <w:sz w:val="24"/>
          <w:szCs w:val="24"/>
          <w:lang w:val="en-US"/>
        </w:rPr>
        <w:t xml:space="preserve">at a bank branch </w:t>
      </w:r>
      <w:r w:rsidR="00697DA0">
        <w:rPr>
          <w:sz w:val="24"/>
          <w:szCs w:val="24"/>
          <w:lang w:val="en-US"/>
        </w:rPr>
        <w:t xml:space="preserve">initially </w:t>
      </w:r>
      <w:r w:rsidR="000D4BDC">
        <w:rPr>
          <w:sz w:val="24"/>
          <w:szCs w:val="24"/>
          <w:lang w:val="en-US"/>
        </w:rPr>
        <w:t>to open a</w:t>
      </w:r>
      <w:r w:rsidR="00594431">
        <w:rPr>
          <w:sz w:val="24"/>
          <w:szCs w:val="24"/>
          <w:lang w:val="en-US"/>
        </w:rPr>
        <w:t xml:space="preserve"> </w:t>
      </w:r>
      <w:r w:rsidR="000D4BDC">
        <w:rPr>
          <w:sz w:val="24"/>
          <w:szCs w:val="24"/>
          <w:lang w:val="en-US"/>
        </w:rPr>
        <w:t>n</w:t>
      </w:r>
      <w:r w:rsidR="00594431">
        <w:rPr>
          <w:sz w:val="24"/>
          <w:szCs w:val="24"/>
          <w:lang w:val="en-US"/>
        </w:rPr>
        <w:t>ew</w:t>
      </w:r>
      <w:r w:rsidR="000D4BDC">
        <w:rPr>
          <w:sz w:val="24"/>
          <w:szCs w:val="24"/>
          <w:lang w:val="en-US"/>
        </w:rPr>
        <w:t xml:space="preserve"> account </w:t>
      </w:r>
      <w:r w:rsidR="00AA19A9">
        <w:rPr>
          <w:sz w:val="24"/>
          <w:szCs w:val="24"/>
          <w:lang w:val="en-US"/>
        </w:rPr>
        <w:t>jointly with her daughter</w:t>
      </w:r>
      <w:r w:rsidR="00697DA0">
        <w:rPr>
          <w:sz w:val="24"/>
          <w:szCs w:val="24"/>
          <w:lang w:val="en-US"/>
        </w:rPr>
        <w:t xml:space="preserve">, and </w:t>
      </w:r>
      <w:r w:rsidR="005D6A94">
        <w:rPr>
          <w:sz w:val="24"/>
          <w:szCs w:val="24"/>
          <w:lang w:val="en-US"/>
        </w:rPr>
        <w:t>subsequently to clos</w:t>
      </w:r>
      <w:r>
        <w:rPr>
          <w:sz w:val="24"/>
          <w:szCs w:val="24"/>
          <w:lang w:val="en-US"/>
        </w:rPr>
        <w:t>e</w:t>
      </w:r>
      <w:r w:rsidR="005D6A94">
        <w:rPr>
          <w:sz w:val="24"/>
          <w:szCs w:val="24"/>
          <w:lang w:val="en-US"/>
        </w:rPr>
        <w:t xml:space="preserve"> her account. After two follow-up meetings, t</w:t>
      </w:r>
      <w:r w:rsidR="00594431">
        <w:rPr>
          <w:sz w:val="24"/>
          <w:szCs w:val="24"/>
          <w:lang w:val="en-US"/>
        </w:rPr>
        <w:t xml:space="preserve">he bank </w:t>
      </w:r>
      <w:r w:rsidR="005D6A94">
        <w:rPr>
          <w:sz w:val="24"/>
          <w:szCs w:val="24"/>
          <w:lang w:val="en-US"/>
        </w:rPr>
        <w:t xml:space="preserve">concluded </w:t>
      </w:r>
      <w:r w:rsidR="00594431">
        <w:rPr>
          <w:sz w:val="24"/>
          <w:szCs w:val="24"/>
          <w:lang w:val="en-US"/>
        </w:rPr>
        <w:t xml:space="preserve">that the </w:t>
      </w:r>
      <w:r w:rsidR="005D6A94">
        <w:rPr>
          <w:sz w:val="24"/>
          <w:szCs w:val="24"/>
          <w:lang w:val="en-US"/>
        </w:rPr>
        <w:t xml:space="preserve">instructions did not truly reflect the customer’s wishes, </w:t>
      </w:r>
      <w:r w:rsidR="00594431">
        <w:rPr>
          <w:sz w:val="24"/>
          <w:szCs w:val="24"/>
          <w:lang w:val="en-US"/>
        </w:rPr>
        <w:t xml:space="preserve">and that they were </w:t>
      </w:r>
      <w:r w:rsidR="005D6A94">
        <w:rPr>
          <w:sz w:val="24"/>
          <w:szCs w:val="24"/>
          <w:lang w:val="en-US"/>
        </w:rPr>
        <w:t>emanating</w:t>
      </w:r>
      <w:r w:rsidR="00594431">
        <w:rPr>
          <w:sz w:val="24"/>
          <w:szCs w:val="24"/>
          <w:lang w:val="en-US"/>
        </w:rPr>
        <w:t xml:space="preserve"> from her daughter</w:t>
      </w:r>
      <w:r w:rsidR="005D6A94">
        <w:rPr>
          <w:sz w:val="24"/>
          <w:szCs w:val="24"/>
          <w:lang w:val="en-US"/>
        </w:rPr>
        <w:t xml:space="preserve"> who </w:t>
      </w:r>
      <w:r w:rsidR="00DD2F9D">
        <w:rPr>
          <w:sz w:val="24"/>
          <w:szCs w:val="24"/>
          <w:lang w:val="en-US"/>
        </w:rPr>
        <w:t xml:space="preserve">had </w:t>
      </w:r>
      <w:r w:rsidR="005D6A94">
        <w:rPr>
          <w:sz w:val="24"/>
          <w:szCs w:val="24"/>
          <w:lang w:val="en-US"/>
        </w:rPr>
        <w:t>accompanied her to the branch</w:t>
      </w:r>
      <w:r w:rsidR="00594431">
        <w:rPr>
          <w:sz w:val="24"/>
          <w:szCs w:val="24"/>
          <w:lang w:val="en-US"/>
        </w:rPr>
        <w:t xml:space="preserve">. </w:t>
      </w:r>
      <w:r w:rsidR="00DA1A60">
        <w:rPr>
          <w:sz w:val="24"/>
          <w:szCs w:val="24"/>
          <w:lang w:val="en-US"/>
        </w:rPr>
        <w:t xml:space="preserve">The </w:t>
      </w:r>
      <w:r w:rsidR="00FF17CB">
        <w:rPr>
          <w:sz w:val="24"/>
          <w:szCs w:val="24"/>
          <w:lang w:val="en-US"/>
        </w:rPr>
        <w:t>customer</w:t>
      </w:r>
      <w:r w:rsidR="00E71974">
        <w:rPr>
          <w:sz w:val="24"/>
          <w:szCs w:val="24"/>
          <w:lang w:val="en-US"/>
        </w:rPr>
        <w:t xml:space="preserve">, </w:t>
      </w:r>
      <w:r w:rsidR="00C57C5B">
        <w:rPr>
          <w:sz w:val="24"/>
          <w:szCs w:val="24"/>
          <w:lang w:val="en-US"/>
        </w:rPr>
        <w:t xml:space="preserve">with the aid of </w:t>
      </w:r>
      <w:r w:rsidR="00E71974">
        <w:rPr>
          <w:sz w:val="24"/>
          <w:szCs w:val="24"/>
          <w:lang w:val="en-US"/>
        </w:rPr>
        <w:t>her daughter,</w:t>
      </w:r>
      <w:r w:rsidR="00DD2F9D">
        <w:rPr>
          <w:sz w:val="24"/>
          <w:szCs w:val="24"/>
          <w:lang w:val="en-US"/>
        </w:rPr>
        <w:t xml:space="preserve"> duly</w:t>
      </w:r>
      <w:r w:rsidR="00FF17CB">
        <w:rPr>
          <w:sz w:val="24"/>
          <w:szCs w:val="24"/>
          <w:lang w:val="en-US"/>
        </w:rPr>
        <w:t xml:space="preserve"> </w:t>
      </w:r>
      <w:r w:rsidR="00DA1A60">
        <w:rPr>
          <w:sz w:val="24"/>
          <w:szCs w:val="24"/>
          <w:lang w:val="en-US"/>
        </w:rPr>
        <w:t xml:space="preserve">sued </w:t>
      </w:r>
      <w:r w:rsidR="00FF17CB">
        <w:rPr>
          <w:sz w:val="24"/>
          <w:szCs w:val="24"/>
          <w:lang w:val="en-US"/>
        </w:rPr>
        <w:t>the bank f</w:t>
      </w:r>
      <w:r w:rsidR="00DA1A60">
        <w:rPr>
          <w:sz w:val="24"/>
          <w:szCs w:val="24"/>
          <w:lang w:val="en-US"/>
        </w:rPr>
        <w:t xml:space="preserve">or not following </w:t>
      </w:r>
      <w:r w:rsidR="00FF17CB">
        <w:rPr>
          <w:sz w:val="24"/>
          <w:szCs w:val="24"/>
          <w:lang w:val="en-US"/>
        </w:rPr>
        <w:t>her</w:t>
      </w:r>
      <w:r w:rsidR="00DA1A60">
        <w:rPr>
          <w:sz w:val="24"/>
          <w:szCs w:val="24"/>
          <w:lang w:val="en-US"/>
        </w:rPr>
        <w:t xml:space="preserve"> instructions. </w:t>
      </w:r>
      <w:r w:rsidR="00FF17CB">
        <w:rPr>
          <w:sz w:val="24"/>
          <w:szCs w:val="24"/>
          <w:lang w:val="en-US"/>
        </w:rPr>
        <w:t xml:space="preserve">Singapore’s Court of Appeal </w:t>
      </w:r>
      <w:r w:rsidR="00DD2F9D">
        <w:rPr>
          <w:sz w:val="24"/>
          <w:szCs w:val="24"/>
          <w:lang w:val="en-US"/>
        </w:rPr>
        <w:t xml:space="preserve">found that </w:t>
      </w:r>
      <w:r w:rsidR="00DD2F9D">
        <w:rPr>
          <w:iCs/>
          <w:sz w:val="24"/>
          <w:szCs w:val="24"/>
          <w:lang w:val="en-US"/>
        </w:rPr>
        <w:t>there were reasonable doubts that the instructions reflected the customer’s genuine intentions,</w:t>
      </w:r>
      <w:r w:rsidR="00C57C5B">
        <w:rPr>
          <w:rStyle w:val="FootnoteReference"/>
          <w:iCs/>
          <w:sz w:val="24"/>
          <w:szCs w:val="24"/>
          <w:lang w:val="en-US"/>
        </w:rPr>
        <w:footnoteReference w:id="88"/>
      </w:r>
      <w:r w:rsidR="00DD2F9D">
        <w:rPr>
          <w:iCs/>
          <w:sz w:val="24"/>
          <w:szCs w:val="24"/>
          <w:lang w:val="en-US"/>
        </w:rPr>
        <w:t xml:space="preserve"> and</w:t>
      </w:r>
      <w:r w:rsidR="00DD2F9D">
        <w:rPr>
          <w:sz w:val="24"/>
          <w:szCs w:val="24"/>
          <w:lang w:val="en-US"/>
        </w:rPr>
        <w:t xml:space="preserve"> </w:t>
      </w:r>
      <w:r w:rsidR="00FF17CB">
        <w:rPr>
          <w:sz w:val="24"/>
          <w:szCs w:val="24"/>
          <w:lang w:val="en-US"/>
        </w:rPr>
        <w:t xml:space="preserve">relied on the </w:t>
      </w:r>
      <w:r w:rsidR="00FF17CB">
        <w:rPr>
          <w:i/>
          <w:iCs/>
          <w:sz w:val="24"/>
          <w:szCs w:val="24"/>
          <w:lang w:val="en-US"/>
        </w:rPr>
        <w:t xml:space="preserve">Quincecare </w:t>
      </w:r>
      <w:r w:rsidR="00FF17CB">
        <w:rPr>
          <w:sz w:val="24"/>
          <w:szCs w:val="24"/>
          <w:lang w:val="en-US"/>
        </w:rPr>
        <w:t xml:space="preserve">duty to exonerate the </w:t>
      </w:r>
      <w:r w:rsidR="0000052D">
        <w:rPr>
          <w:iCs/>
          <w:sz w:val="24"/>
          <w:szCs w:val="24"/>
          <w:lang w:val="en-US"/>
        </w:rPr>
        <w:t>bank</w:t>
      </w:r>
      <w:r w:rsidR="00DA1A60">
        <w:rPr>
          <w:iCs/>
          <w:sz w:val="24"/>
          <w:szCs w:val="24"/>
          <w:lang w:val="en-US"/>
        </w:rPr>
        <w:t xml:space="preserve">. </w:t>
      </w:r>
    </w:p>
    <w:p w14:paraId="37D357E4" w14:textId="701555EC" w:rsidR="00056957" w:rsidRDefault="00AA19A9" w:rsidP="00056957">
      <w:pPr>
        <w:rPr>
          <w:sz w:val="24"/>
          <w:szCs w:val="24"/>
        </w:rPr>
      </w:pPr>
      <w:r>
        <w:rPr>
          <w:iCs/>
          <w:sz w:val="24"/>
          <w:szCs w:val="24"/>
          <w:lang w:val="en-US"/>
        </w:rPr>
        <w:t xml:space="preserve">The case </w:t>
      </w:r>
      <w:r w:rsidR="000B3238">
        <w:rPr>
          <w:iCs/>
          <w:sz w:val="24"/>
          <w:szCs w:val="24"/>
          <w:lang w:val="en-US"/>
        </w:rPr>
        <w:t xml:space="preserve">is significant for three reasons. First, it </w:t>
      </w:r>
      <w:r>
        <w:rPr>
          <w:iCs/>
          <w:sz w:val="24"/>
          <w:szCs w:val="24"/>
          <w:lang w:val="en-US"/>
        </w:rPr>
        <w:t xml:space="preserve">illustrates the ‘tightrope’ </w:t>
      </w:r>
      <w:r w:rsidR="00B0456A">
        <w:rPr>
          <w:iCs/>
          <w:sz w:val="24"/>
          <w:szCs w:val="24"/>
          <w:lang w:val="en-US"/>
        </w:rPr>
        <w:t>a</w:t>
      </w:r>
      <w:r>
        <w:rPr>
          <w:iCs/>
          <w:sz w:val="24"/>
          <w:szCs w:val="24"/>
          <w:lang w:val="en-US"/>
        </w:rPr>
        <w:t xml:space="preserve"> bank walks, between litigation for not exercising care and </w:t>
      </w:r>
      <w:r w:rsidR="00B0456A">
        <w:rPr>
          <w:iCs/>
          <w:sz w:val="24"/>
          <w:szCs w:val="24"/>
          <w:lang w:val="en-US"/>
        </w:rPr>
        <w:t xml:space="preserve">litigation for </w:t>
      </w:r>
      <w:r w:rsidR="00DD2F9D">
        <w:rPr>
          <w:iCs/>
          <w:sz w:val="24"/>
          <w:szCs w:val="24"/>
          <w:lang w:val="en-US"/>
        </w:rPr>
        <w:t xml:space="preserve">not executing instructions </w:t>
      </w:r>
      <w:r w:rsidR="00DD2F9D">
        <w:rPr>
          <w:iCs/>
          <w:sz w:val="24"/>
          <w:szCs w:val="24"/>
          <w:lang w:val="en-US"/>
        </w:rPr>
        <w:lastRenderedPageBreak/>
        <w:t>promptly</w:t>
      </w:r>
      <w:r w:rsidR="00B0456A">
        <w:rPr>
          <w:iCs/>
          <w:sz w:val="24"/>
          <w:szCs w:val="24"/>
          <w:lang w:val="en-US"/>
        </w:rPr>
        <w:t xml:space="preserve">. </w:t>
      </w:r>
      <w:r w:rsidR="003B25C5">
        <w:rPr>
          <w:iCs/>
          <w:sz w:val="24"/>
          <w:szCs w:val="24"/>
          <w:lang w:val="en-US"/>
        </w:rPr>
        <w:t>Most of the cases involve banks being sued for not querying the payment, but</w:t>
      </w:r>
      <w:r w:rsidR="001932C6">
        <w:rPr>
          <w:i/>
          <w:sz w:val="24"/>
          <w:szCs w:val="24"/>
          <w:lang w:val="en-US"/>
        </w:rPr>
        <w:t xml:space="preserve"> </w:t>
      </w:r>
      <w:r w:rsidR="001932C6" w:rsidRPr="00590EF2">
        <w:rPr>
          <w:i/>
          <w:sz w:val="24"/>
          <w:szCs w:val="24"/>
          <w:lang w:val="en-US"/>
        </w:rPr>
        <w:t>Hsu Ann Mei</w:t>
      </w:r>
      <w:r w:rsidR="003B25C5">
        <w:rPr>
          <w:iCs/>
          <w:sz w:val="24"/>
          <w:szCs w:val="24"/>
          <w:lang w:val="en-US"/>
        </w:rPr>
        <w:t xml:space="preserve"> </w:t>
      </w:r>
      <w:r w:rsidR="00DB40DC">
        <w:rPr>
          <w:iCs/>
          <w:sz w:val="24"/>
          <w:szCs w:val="24"/>
          <w:lang w:val="en-US"/>
        </w:rPr>
        <w:t xml:space="preserve">is an example of a bank being sued for </w:t>
      </w:r>
      <w:r w:rsidR="00124D2B">
        <w:rPr>
          <w:iCs/>
          <w:sz w:val="24"/>
          <w:szCs w:val="24"/>
          <w:lang w:val="en-US"/>
        </w:rPr>
        <w:t>declining to follow</w:t>
      </w:r>
      <w:r w:rsidR="00DB40DC">
        <w:rPr>
          <w:iCs/>
          <w:sz w:val="24"/>
          <w:szCs w:val="24"/>
          <w:lang w:val="en-US"/>
        </w:rPr>
        <w:t xml:space="preserve"> an </w:t>
      </w:r>
      <w:r w:rsidR="00124D2B">
        <w:rPr>
          <w:iCs/>
          <w:sz w:val="24"/>
          <w:szCs w:val="24"/>
          <w:lang w:val="en-US"/>
        </w:rPr>
        <w:t>instruction</w:t>
      </w:r>
      <w:r w:rsidR="003B25C5">
        <w:rPr>
          <w:iCs/>
          <w:sz w:val="24"/>
          <w:szCs w:val="24"/>
          <w:lang w:val="en-US"/>
        </w:rPr>
        <w:t xml:space="preserve">. </w:t>
      </w:r>
      <w:r w:rsidR="000B3238">
        <w:rPr>
          <w:iCs/>
          <w:sz w:val="24"/>
          <w:szCs w:val="24"/>
          <w:lang w:val="en-US"/>
        </w:rPr>
        <w:t xml:space="preserve">Second, </w:t>
      </w:r>
      <w:r w:rsidR="00DB40DC">
        <w:rPr>
          <w:iCs/>
          <w:sz w:val="24"/>
          <w:szCs w:val="24"/>
          <w:lang w:val="en-US"/>
        </w:rPr>
        <w:t>the case</w:t>
      </w:r>
      <w:r w:rsidR="000B3238">
        <w:rPr>
          <w:iCs/>
          <w:sz w:val="24"/>
          <w:szCs w:val="24"/>
          <w:lang w:val="en-US"/>
        </w:rPr>
        <w:t xml:space="preserve"> shows </w:t>
      </w:r>
      <w:r w:rsidR="00B0456A">
        <w:rPr>
          <w:iCs/>
          <w:sz w:val="24"/>
          <w:szCs w:val="24"/>
          <w:lang w:val="en-US"/>
        </w:rPr>
        <w:t xml:space="preserve">that the </w:t>
      </w:r>
      <w:r w:rsidR="00B0456A">
        <w:rPr>
          <w:i/>
          <w:sz w:val="24"/>
          <w:szCs w:val="24"/>
          <w:lang w:val="en-US"/>
        </w:rPr>
        <w:t xml:space="preserve">Quincecare </w:t>
      </w:r>
      <w:r w:rsidR="00B0456A">
        <w:rPr>
          <w:iCs/>
          <w:sz w:val="24"/>
          <w:szCs w:val="24"/>
          <w:lang w:val="en-US"/>
        </w:rPr>
        <w:t>duty in Singapore is not confined to cases of agents misappropriating funds</w:t>
      </w:r>
      <w:r w:rsidR="007D6C0C">
        <w:rPr>
          <w:iCs/>
          <w:sz w:val="24"/>
          <w:szCs w:val="24"/>
          <w:lang w:val="en-US"/>
        </w:rPr>
        <w:t xml:space="preserve">, and </w:t>
      </w:r>
      <w:r w:rsidR="000B3238">
        <w:rPr>
          <w:iCs/>
          <w:sz w:val="24"/>
          <w:szCs w:val="24"/>
          <w:lang w:val="en-US"/>
        </w:rPr>
        <w:t xml:space="preserve">there are situations in which </w:t>
      </w:r>
      <w:r w:rsidR="000B3238" w:rsidRPr="000B3238">
        <w:rPr>
          <w:iCs/>
          <w:sz w:val="24"/>
          <w:szCs w:val="24"/>
          <w:lang w:val="en-US"/>
        </w:rPr>
        <w:t xml:space="preserve">a bank </w:t>
      </w:r>
      <w:r w:rsidR="000B3238">
        <w:rPr>
          <w:iCs/>
          <w:sz w:val="24"/>
          <w:szCs w:val="24"/>
          <w:lang w:val="en-US"/>
        </w:rPr>
        <w:t xml:space="preserve">should decline instructions emanating </w:t>
      </w:r>
      <w:r w:rsidR="001932C6">
        <w:rPr>
          <w:iCs/>
          <w:sz w:val="24"/>
          <w:szCs w:val="24"/>
          <w:lang w:val="en-US"/>
        </w:rPr>
        <w:t xml:space="preserve">directly </w:t>
      </w:r>
      <w:r w:rsidR="000B3238">
        <w:rPr>
          <w:iCs/>
          <w:sz w:val="24"/>
          <w:szCs w:val="24"/>
          <w:lang w:val="en-US"/>
        </w:rPr>
        <w:t xml:space="preserve">from the customer </w:t>
      </w:r>
      <w:r w:rsidR="007D6C0C">
        <w:rPr>
          <w:iCs/>
          <w:sz w:val="24"/>
          <w:szCs w:val="24"/>
          <w:lang w:val="en-US"/>
        </w:rPr>
        <w:t>because of concerns about the influence of a third party.</w:t>
      </w:r>
      <w:r w:rsidR="0029128D">
        <w:rPr>
          <w:rStyle w:val="FootnoteReference"/>
          <w:iCs/>
          <w:sz w:val="24"/>
          <w:szCs w:val="24"/>
          <w:lang w:val="en-US"/>
        </w:rPr>
        <w:footnoteReference w:id="89"/>
      </w:r>
      <w:r w:rsidR="000B3238">
        <w:rPr>
          <w:iCs/>
          <w:sz w:val="24"/>
          <w:szCs w:val="24"/>
          <w:lang w:val="en-US"/>
        </w:rPr>
        <w:t xml:space="preserve"> </w:t>
      </w:r>
      <w:r w:rsidR="00441E74">
        <w:rPr>
          <w:iCs/>
          <w:sz w:val="24"/>
          <w:szCs w:val="24"/>
          <w:lang w:val="en-US"/>
        </w:rPr>
        <w:t xml:space="preserve">Third, </w:t>
      </w:r>
      <w:r w:rsidR="00C57C5B">
        <w:rPr>
          <w:iCs/>
          <w:sz w:val="24"/>
          <w:szCs w:val="24"/>
          <w:lang w:val="en-US"/>
        </w:rPr>
        <w:t xml:space="preserve">it is interesting that </w:t>
      </w:r>
      <w:r w:rsidR="00441E74">
        <w:rPr>
          <w:iCs/>
          <w:sz w:val="24"/>
          <w:szCs w:val="24"/>
          <w:lang w:val="en-US"/>
        </w:rPr>
        <w:t xml:space="preserve">the Singapore Court of Appeal </w:t>
      </w:r>
      <w:r w:rsidR="00A72757">
        <w:rPr>
          <w:iCs/>
          <w:sz w:val="24"/>
          <w:szCs w:val="24"/>
          <w:lang w:val="en-US"/>
        </w:rPr>
        <w:t xml:space="preserve">stated </w:t>
      </w:r>
      <w:r w:rsidR="008F1DC3">
        <w:rPr>
          <w:iCs/>
          <w:sz w:val="24"/>
          <w:szCs w:val="24"/>
          <w:lang w:val="en-US"/>
        </w:rPr>
        <w:t>that the duty to obey instructions is subject to the duty of care.</w:t>
      </w:r>
      <w:r w:rsidR="00D6382B">
        <w:rPr>
          <w:rStyle w:val="FootnoteReference"/>
          <w:sz w:val="24"/>
          <w:szCs w:val="24"/>
        </w:rPr>
        <w:footnoteReference w:id="90"/>
      </w:r>
      <w:r w:rsidR="00441E74">
        <w:rPr>
          <w:sz w:val="24"/>
          <w:szCs w:val="24"/>
        </w:rPr>
        <w:t xml:space="preserve"> </w:t>
      </w:r>
      <w:r w:rsidR="00C57C5B">
        <w:rPr>
          <w:sz w:val="24"/>
          <w:szCs w:val="24"/>
        </w:rPr>
        <w:t xml:space="preserve">In context, </w:t>
      </w:r>
      <w:r w:rsidR="004F5423">
        <w:rPr>
          <w:sz w:val="24"/>
          <w:szCs w:val="24"/>
        </w:rPr>
        <w:t xml:space="preserve">the statement </w:t>
      </w:r>
      <w:r w:rsidR="00C57C5B">
        <w:rPr>
          <w:sz w:val="24"/>
          <w:szCs w:val="24"/>
        </w:rPr>
        <w:t xml:space="preserve">should </w:t>
      </w:r>
      <w:r w:rsidR="004F5423">
        <w:rPr>
          <w:sz w:val="24"/>
          <w:szCs w:val="24"/>
        </w:rPr>
        <w:t xml:space="preserve">probably </w:t>
      </w:r>
      <w:r w:rsidR="00C57C5B">
        <w:rPr>
          <w:sz w:val="24"/>
          <w:szCs w:val="24"/>
        </w:rPr>
        <w:t>not be taken to</w:t>
      </w:r>
      <w:r w:rsidR="004F5423">
        <w:rPr>
          <w:sz w:val="24"/>
          <w:szCs w:val="24"/>
        </w:rPr>
        <w:t xml:space="preserve"> mean that the duty of care is primary, it does sign</w:t>
      </w:r>
      <w:r w:rsidR="00C57C5B">
        <w:rPr>
          <w:sz w:val="24"/>
          <w:szCs w:val="24"/>
        </w:rPr>
        <w:t>al</w:t>
      </w:r>
      <w:r w:rsidR="004F5423">
        <w:rPr>
          <w:sz w:val="24"/>
          <w:szCs w:val="24"/>
        </w:rPr>
        <w:t xml:space="preserve"> the importance of the bank’s duty of care</w:t>
      </w:r>
      <w:r w:rsidR="00C57C5B">
        <w:rPr>
          <w:sz w:val="24"/>
          <w:szCs w:val="24"/>
        </w:rPr>
        <w:t xml:space="preserve"> which should not be relegated to a minor role</w:t>
      </w:r>
      <w:r w:rsidR="004F5423">
        <w:rPr>
          <w:sz w:val="24"/>
          <w:szCs w:val="24"/>
        </w:rPr>
        <w:t xml:space="preserve">. </w:t>
      </w:r>
      <w:r w:rsidR="00C57C5B">
        <w:rPr>
          <w:sz w:val="24"/>
          <w:szCs w:val="24"/>
        </w:rPr>
        <w:t>T</w:t>
      </w:r>
      <w:r w:rsidR="00DA050C">
        <w:rPr>
          <w:sz w:val="24"/>
          <w:szCs w:val="24"/>
        </w:rPr>
        <w:t xml:space="preserve">here is no indication that the </w:t>
      </w:r>
      <w:r w:rsidR="00230620">
        <w:rPr>
          <w:sz w:val="24"/>
          <w:szCs w:val="24"/>
        </w:rPr>
        <w:t xml:space="preserve">apparently broader </w:t>
      </w:r>
      <w:r w:rsidR="00DA050C">
        <w:rPr>
          <w:sz w:val="24"/>
          <w:szCs w:val="24"/>
        </w:rPr>
        <w:t xml:space="preserve">duty in Singapore has undermined the bank’s </w:t>
      </w:r>
      <w:r w:rsidR="00C57C5B">
        <w:rPr>
          <w:sz w:val="24"/>
          <w:szCs w:val="24"/>
        </w:rPr>
        <w:t xml:space="preserve">prima facie duty </w:t>
      </w:r>
      <w:r w:rsidR="00DA050C">
        <w:rPr>
          <w:sz w:val="24"/>
          <w:szCs w:val="24"/>
        </w:rPr>
        <w:t>to take instructions at face value.</w:t>
      </w:r>
      <w:r w:rsidR="00A72757">
        <w:rPr>
          <w:sz w:val="24"/>
          <w:szCs w:val="24"/>
        </w:rPr>
        <w:t xml:space="preserve"> </w:t>
      </w:r>
      <w:r w:rsidR="00DA050C">
        <w:rPr>
          <w:sz w:val="24"/>
          <w:szCs w:val="24"/>
        </w:rPr>
        <w:t>T</w:t>
      </w:r>
      <w:r w:rsidR="0029128D">
        <w:rPr>
          <w:sz w:val="24"/>
          <w:szCs w:val="24"/>
        </w:rPr>
        <w:t xml:space="preserve">here are </w:t>
      </w:r>
      <w:r w:rsidR="001932C6">
        <w:rPr>
          <w:sz w:val="24"/>
          <w:szCs w:val="24"/>
        </w:rPr>
        <w:t>few</w:t>
      </w:r>
      <w:r w:rsidR="0029128D">
        <w:rPr>
          <w:sz w:val="24"/>
          <w:szCs w:val="24"/>
        </w:rPr>
        <w:t xml:space="preserve"> </w:t>
      </w:r>
      <w:r w:rsidR="00D41A47">
        <w:rPr>
          <w:sz w:val="24"/>
          <w:szCs w:val="24"/>
        </w:rPr>
        <w:t xml:space="preserve">cases </w:t>
      </w:r>
      <w:r w:rsidR="0029128D">
        <w:rPr>
          <w:sz w:val="24"/>
          <w:szCs w:val="24"/>
        </w:rPr>
        <w:t>alleging a breach of the</w:t>
      </w:r>
      <w:r w:rsidR="00D41A47">
        <w:rPr>
          <w:sz w:val="24"/>
          <w:szCs w:val="24"/>
        </w:rPr>
        <w:t xml:space="preserve"> </w:t>
      </w:r>
      <w:r w:rsidR="00C57C5B">
        <w:rPr>
          <w:i/>
          <w:iCs/>
          <w:sz w:val="24"/>
          <w:szCs w:val="24"/>
        </w:rPr>
        <w:t xml:space="preserve">Quincecare </w:t>
      </w:r>
      <w:r w:rsidR="00D41A47">
        <w:rPr>
          <w:sz w:val="24"/>
          <w:szCs w:val="24"/>
        </w:rPr>
        <w:t>duty</w:t>
      </w:r>
      <w:r w:rsidR="00C57C5B">
        <w:rPr>
          <w:sz w:val="24"/>
          <w:szCs w:val="24"/>
        </w:rPr>
        <w:t xml:space="preserve"> in Singapore</w:t>
      </w:r>
      <w:r w:rsidR="0029128D">
        <w:rPr>
          <w:sz w:val="24"/>
          <w:szCs w:val="24"/>
        </w:rPr>
        <w:t xml:space="preserve">, and </w:t>
      </w:r>
      <w:r w:rsidR="001932C6">
        <w:rPr>
          <w:sz w:val="24"/>
          <w:szCs w:val="24"/>
        </w:rPr>
        <w:t>none</w:t>
      </w:r>
      <w:r w:rsidR="0029128D">
        <w:rPr>
          <w:sz w:val="24"/>
          <w:szCs w:val="24"/>
        </w:rPr>
        <w:t xml:space="preserve"> have succeeded.</w:t>
      </w:r>
      <w:r w:rsidR="008F1DC3">
        <w:rPr>
          <w:rStyle w:val="FootnoteReference"/>
          <w:sz w:val="24"/>
          <w:szCs w:val="24"/>
        </w:rPr>
        <w:footnoteReference w:id="91"/>
      </w:r>
    </w:p>
    <w:p w14:paraId="5B50B009" w14:textId="75C32749" w:rsidR="00056957" w:rsidRPr="00056957" w:rsidRDefault="00056957" w:rsidP="00CA2B64">
      <w:pPr>
        <w:pStyle w:val="ListParagraph"/>
        <w:numPr>
          <w:ilvl w:val="0"/>
          <w:numId w:val="3"/>
        </w:numPr>
        <w:rPr>
          <w:sz w:val="24"/>
          <w:szCs w:val="24"/>
        </w:rPr>
      </w:pPr>
      <w:r w:rsidRPr="00056957">
        <w:rPr>
          <w:sz w:val="24"/>
          <w:szCs w:val="24"/>
        </w:rPr>
        <w:t xml:space="preserve">Conclusion </w:t>
      </w:r>
    </w:p>
    <w:p w14:paraId="4A76549D" w14:textId="1AAC87E8" w:rsidR="00585AE2" w:rsidRDefault="00585AE2" w:rsidP="00056957">
      <w:pPr>
        <w:rPr>
          <w:rFonts w:ascii="Calibri" w:eastAsia="Calibri" w:hAnsi="Calibri" w:cs="Arial"/>
          <w:color w:val="000000"/>
          <w:sz w:val="24"/>
          <w:szCs w:val="24"/>
        </w:rPr>
      </w:pPr>
      <w:r>
        <w:rPr>
          <w:sz w:val="24"/>
          <w:szCs w:val="24"/>
        </w:rPr>
        <w:t xml:space="preserve">This review of the </w:t>
      </w:r>
      <w:bookmarkStart w:id="35" w:name="_Hlk75959174"/>
      <w:r>
        <w:rPr>
          <w:i/>
          <w:iCs/>
          <w:sz w:val="24"/>
          <w:szCs w:val="24"/>
        </w:rPr>
        <w:t xml:space="preserve">Quincecare </w:t>
      </w:r>
      <w:r>
        <w:rPr>
          <w:sz w:val="24"/>
          <w:szCs w:val="24"/>
        </w:rPr>
        <w:t>duty</w:t>
      </w:r>
      <w:bookmarkEnd w:id="35"/>
      <w:r>
        <w:rPr>
          <w:sz w:val="24"/>
          <w:szCs w:val="24"/>
        </w:rPr>
        <w:t xml:space="preserve">’s lineage suggests that the law has almost imperceptibly drifted away from where it stood 50 years ago in </w:t>
      </w:r>
      <w:r>
        <w:rPr>
          <w:i/>
          <w:iCs/>
          <w:sz w:val="24"/>
          <w:szCs w:val="24"/>
        </w:rPr>
        <w:t xml:space="preserve">Selangor </w:t>
      </w:r>
      <w:r>
        <w:rPr>
          <w:sz w:val="24"/>
          <w:szCs w:val="24"/>
        </w:rPr>
        <w:t>and</w:t>
      </w:r>
      <w:r>
        <w:rPr>
          <w:i/>
          <w:iCs/>
          <w:sz w:val="24"/>
          <w:szCs w:val="24"/>
        </w:rPr>
        <w:t xml:space="preserve"> Karak</w:t>
      </w:r>
      <w:r>
        <w:rPr>
          <w:sz w:val="24"/>
          <w:szCs w:val="24"/>
        </w:rPr>
        <w:t>,</w:t>
      </w:r>
      <w:r>
        <w:rPr>
          <w:i/>
          <w:iCs/>
          <w:sz w:val="24"/>
          <w:szCs w:val="24"/>
        </w:rPr>
        <w:t xml:space="preserve"> </w:t>
      </w:r>
      <w:r w:rsidRPr="006D1AA5">
        <w:rPr>
          <w:sz w:val="24"/>
          <w:szCs w:val="24"/>
        </w:rPr>
        <w:t xml:space="preserve">to </w:t>
      </w:r>
      <w:r>
        <w:rPr>
          <w:sz w:val="24"/>
          <w:szCs w:val="24"/>
        </w:rPr>
        <w:t xml:space="preserve">a more limited duty which can play little role in combatting </w:t>
      </w:r>
      <w:r w:rsidR="00DE4A26">
        <w:rPr>
          <w:sz w:val="24"/>
          <w:szCs w:val="24"/>
        </w:rPr>
        <w:t xml:space="preserve">the scourge of </w:t>
      </w:r>
      <w:r>
        <w:rPr>
          <w:sz w:val="24"/>
          <w:szCs w:val="24"/>
        </w:rPr>
        <w:t xml:space="preserve">payment scams. Even if this reading of the case law is </w:t>
      </w:r>
      <w:r w:rsidR="006F1CE5">
        <w:rPr>
          <w:sz w:val="24"/>
          <w:szCs w:val="24"/>
        </w:rPr>
        <w:t>contentious,</w:t>
      </w:r>
      <w:r>
        <w:rPr>
          <w:sz w:val="24"/>
          <w:szCs w:val="24"/>
        </w:rPr>
        <w:t xml:space="preserve"> as a matter of policy the position needs to be reconsidered </w:t>
      </w:r>
      <w:r w:rsidR="006F1CE5">
        <w:rPr>
          <w:sz w:val="24"/>
          <w:szCs w:val="24"/>
        </w:rPr>
        <w:t xml:space="preserve">because </w:t>
      </w:r>
      <w:r>
        <w:rPr>
          <w:sz w:val="24"/>
          <w:szCs w:val="24"/>
        </w:rPr>
        <w:t>the scale of the scam problem requires all hands on deck: it is ‘</w:t>
      </w:r>
      <w:r w:rsidRPr="009C1B83">
        <w:rPr>
          <w:rFonts w:ascii="Calibri" w:eastAsia="Calibri" w:hAnsi="Calibri" w:cs="Arial"/>
          <w:color w:val="000000"/>
          <w:sz w:val="24"/>
          <w:szCs w:val="24"/>
        </w:rPr>
        <w:t>incumbent on all of us, across</w:t>
      </w:r>
      <w:r>
        <w:rPr>
          <w:rFonts w:ascii="Calibri" w:eastAsia="Calibri" w:hAnsi="Calibri" w:cs="Arial"/>
          <w:color w:val="000000"/>
          <w:sz w:val="24"/>
          <w:szCs w:val="24"/>
        </w:rPr>
        <w:t xml:space="preserve"> </w:t>
      </w:r>
      <w:r w:rsidRPr="009C1B83">
        <w:rPr>
          <w:rFonts w:ascii="Calibri" w:eastAsia="Calibri" w:hAnsi="Calibri" w:cs="Arial"/>
          <w:color w:val="000000"/>
          <w:sz w:val="24"/>
          <w:szCs w:val="24"/>
        </w:rPr>
        <w:t>the private sector, law enforcement and</w:t>
      </w:r>
      <w:r>
        <w:rPr>
          <w:rFonts w:ascii="Calibri" w:eastAsia="Calibri" w:hAnsi="Calibri" w:cs="Arial"/>
          <w:color w:val="000000"/>
          <w:sz w:val="24"/>
          <w:szCs w:val="24"/>
        </w:rPr>
        <w:t xml:space="preserve"> </w:t>
      </w:r>
      <w:r w:rsidRPr="009C1B83">
        <w:rPr>
          <w:rFonts w:ascii="Calibri" w:eastAsia="Calibri" w:hAnsi="Calibri" w:cs="Arial"/>
          <w:color w:val="000000"/>
          <w:sz w:val="24"/>
          <w:szCs w:val="24"/>
        </w:rPr>
        <w:t>government, to work together to tackle this</w:t>
      </w:r>
      <w:r>
        <w:rPr>
          <w:rFonts w:ascii="Calibri" w:eastAsia="Calibri" w:hAnsi="Calibri" w:cs="Arial"/>
          <w:color w:val="000000"/>
          <w:sz w:val="24"/>
          <w:szCs w:val="24"/>
        </w:rPr>
        <w:t xml:space="preserve"> </w:t>
      </w:r>
      <w:r w:rsidRPr="009C1B83">
        <w:rPr>
          <w:rFonts w:ascii="Calibri" w:eastAsia="Calibri" w:hAnsi="Calibri" w:cs="Arial"/>
          <w:color w:val="000000"/>
          <w:sz w:val="24"/>
          <w:szCs w:val="24"/>
        </w:rPr>
        <w:t>threat.</w:t>
      </w:r>
      <w:r>
        <w:rPr>
          <w:rFonts w:ascii="Calibri" w:eastAsia="Calibri" w:hAnsi="Calibri" w:cs="Arial"/>
          <w:color w:val="000000"/>
          <w:sz w:val="24"/>
          <w:szCs w:val="24"/>
        </w:rPr>
        <w:t>’</w:t>
      </w:r>
      <w:r>
        <w:rPr>
          <w:rStyle w:val="FootnoteReference"/>
          <w:rFonts w:ascii="Calibri" w:eastAsia="Calibri" w:hAnsi="Calibri" w:cs="Arial"/>
          <w:color w:val="000000"/>
          <w:sz w:val="24"/>
          <w:szCs w:val="24"/>
        </w:rPr>
        <w:footnoteReference w:id="92"/>
      </w:r>
    </w:p>
    <w:p w14:paraId="00650EAF" w14:textId="01BE5580" w:rsidR="000F15C5" w:rsidRDefault="00C635D5" w:rsidP="00056957">
      <w:pPr>
        <w:rPr>
          <w:sz w:val="24"/>
          <w:szCs w:val="24"/>
        </w:rPr>
      </w:pPr>
      <w:r>
        <w:rPr>
          <w:sz w:val="24"/>
          <w:szCs w:val="24"/>
        </w:rPr>
        <w:t xml:space="preserve">The </w:t>
      </w:r>
      <w:r w:rsidR="006E7482">
        <w:rPr>
          <w:sz w:val="24"/>
          <w:szCs w:val="24"/>
        </w:rPr>
        <w:t>broader</w:t>
      </w:r>
      <w:r>
        <w:rPr>
          <w:sz w:val="24"/>
          <w:szCs w:val="24"/>
        </w:rPr>
        <w:t xml:space="preserve"> </w:t>
      </w:r>
      <w:r w:rsidRPr="00C635D5">
        <w:rPr>
          <w:i/>
          <w:iCs/>
          <w:sz w:val="24"/>
          <w:szCs w:val="24"/>
        </w:rPr>
        <w:t>Quincecare</w:t>
      </w:r>
      <w:r>
        <w:rPr>
          <w:sz w:val="24"/>
          <w:szCs w:val="24"/>
        </w:rPr>
        <w:t xml:space="preserve"> duty I support here is a modest one</w:t>
      </w:r>
      <w:r w:rsidR="00286437">
        <w:rPr>
          <w:sz w:val="24"/>
          <w:szCs w:val="24"/>
        </w:rPr>
        <w:t xml:space="preserve"> which does not threaten certainty and payment efficiency</w:t>
      </w:r>
      <w:r>
        <w:rPr>
          <w:sz w:val="24"/>
          <w:szCs w:val="24"/>
        </w:rPr>
        <w:t>. It is unlikely to</w:t>
      </w:r>
      <w:r w:rsidR="00DA050C">
        <w:rPr>
          <w:sz w:val="24"/>
          <w:szCs w:val="24"/>
        </w:rPr>
        <w:t xml:space="preserve"> a</w:t>
      </w:r>
      <w:r>
        <w:rPr>
          <w:sz w:val="24"/>
          <w:szCs w:val="24"/>
        </w:rPr>
        <w:t xml:space="preserve">ffect the vast majority of payment instructions emanating from customers daily. Most instructions are </w:t>
      </w:r>
      <w:r w:rsidR="006F1CE5">
        <w:rPr>
          <w:sz w:val="24"/>
          <w:szCs w:val="24"/>
        </w:rPr>
        <w:t xml:space="preserve">for small amounts, they are </w:t>
      </w:r>
      <w:r>
        <w:rPr>
          <w:sz w:val="24"/>
          <w:szCs w:val="24"/>
        </w:rPr>
        <w:t xml:space="preserve">issued electronically, and are processed automatically. </w:t>
      </w:r>
      <w:r w:rsidR="006F1CE5">
        <w:rPr>
          <w:sz w:val="24"/>
          <w:szCs w:val="24"/>
        </w:rPr>
        <w:t>C</w:t>
      </w:r>
      <w:r w:rsidR="00286437">
        <w:rPr>
          <w:sz w:val="24"/>
          <w:szCs w:val="24"/>
        </w:rPr>
        <w:t>heques</w:t>
      </w:r>
      <w:r w:rsidR="000F15C5">
        <w:rPr>
          <w:sz w:val="24"/>
          <w:szCs w:val="24"/>
        </w:rPr>
        <w:t xml:space="preserve"> </w:t>
      </w:r>
      <w:r w:rsidR="00286437">
        <w:rPr>
          <w:sz w:val="24"/>
          <w:szCs w:val="24"/>
        </w:rPr>
        <w:t xml:space="preserve">are </w:t>
      </w:r>
      <w:r w:rsidR="006F1CE5">
        <w:rPr>
          <w:sz w:val="24"/>
          <w:szCs w:val="24"/>
        </w:rPr>
        <w:t xml:space="preserve">also </w:t>
      </w:r>
      <w:r w:rsidR="00286437">
        <w:rPr>
          <w:sz w:val="24"/>
          <w:szCs w:val="24"/>
        </w:rPr>
        <w:t xml:space="preserve">issued without the bank being privy to the circumstances, and are largely mechanically processed. </w:t>
      </w:r>
      <w:r w:rsidR="000F15C5">
        <w:rPr>
          <w:sz w:val="24"/>
          <w:szCs w:val="24"/>
        </w:rPr>
        <w:t>In s</w:t>
      </w:r>
      <w:r>
        <w:rPr>
          <w:sz w:val="24"/>
          <w:szCs w:val="24"/>
        </w:rPr>
        <w:t>uch circumstances</w:t>
      </w:r>
      <w:r w:rsidR="000F15C5">
        <w:rPr>
          <w:sz w:val="24"/>
          <w:szCs w:val="24"/>
        </w:rPr>
        <w:t xml:space="preserve">, banks </w:t>
      </w:r>
      <w:r>
        <w:rPr>
          <w:sz w:val="24"/>
          <w:szCs w:val="24"/>
        </w:rPr>
        <w:t xml:space="preserve">would not </w:t>
      </w:r>
      <w:r w:rsidR="000F15C5">
        <w:rPr>
          <w:sz w:val="24"/>
          <w:szCs w:val="24"/>
        </w:rPr>
        <w:t xml:space="preserve">ordinarily be </w:t>
      </w:r>
      <w:r w:rsidR="00B13FD3">
        <w:rPr>
          <w:sz w:val="24"/>
          <w:szCs w:val="24"/>
        </w:rPr>
        <w:t>prompt</w:t>
      </w:r>
      <w:r w:rsidR="000F15C5">
        <w:rPr>
          <w:sz w:val="24"/>
          <w:szCs w:val="24"/>
        </w:rPr>
        <w:t>ed</w:t>
      </w:r>
      <w:r>
        <w:rPr>
          <w:sz w:val="24"/>
          <w:szCs w:val="24"/>
        </w:rPr>
        <w:t xml:space="preserve"> to </w:t>
      </w:r>
      <w:r w:rsidR="003D7AD6">
        <w:rPr>
          <w:sz w:val="24"/>
          <w:szCs w:val="24"/>
        </w:rPr>
        <w:t xml:space="preserve">act in any way other than </w:t>
      </w:r>
      <w:r w:rsidR="00B13FD3">
        <w:rPr>
          <w:sz w:val="24"/>
          <w:szCs w:val="24"/>
        </w:rPr>
        <w:t xml:space="preserve">to </w:t>
      </w:r>
      <w:r w:rsidR="003D7AD6">
        <w:rPr>
          <w:sz w:val="24"/>
          <w:szCs w:val="24"/>
        </w:rPr>
        <w:t>pay</w:t>
      </w:r>
      <w:r>
        <w:rPr>
          <w:sz w:val="24"/>
          <w:szCs w:val="24"/>
        </w:rPr>
        <w:t xml:space="preserve">. </w:t>
      </w:r>
    </w:p>
    <w:p w14:paraId="772C0D93" w14:textId="7B8B0132" w:rsidR="000F15C5" w:rsidRDefault="00B13FD3" w:rsidP="00056957">
      <w:pPr>
        <w:rPr>
          <w:sz w:val="24"/>
          <w:szCs w:val="24"/>
        </w:rPr>
      </w:pPr>
      <w:r>
        <w:rPr>
          <w:sz w:val="24"/>
          <w:szCs w:val="24"/>
        </w:rPr>
        <w:t xml:space="preserve">Nevertheless, </w:t>
      </w:r>
      <w:r w:rsidR="000F15C5">
        <w:rPr>
          <w:sz w:val="24"/>
          <w:szCs w:val="24"/>
        </w:rPr>
        <w:t xml:space="preserve">a broader </w:t>
      </w:r>
      <w:r w:rsidR="000F15C5">
        <w:rPr>
          <w:i/>
          <w:iCs/>
          <w:sz w:val="24"/>
          <w:szCs w:val="24"/>
        </w:rPr>
        <w:t>Quincecare</w:t>
      </w:r>
      <w:r w:rsidR="003F396E">
        <w:rPr>
          <w:sz w:val="24"/>
          <w:szCs w:val="24"/>
        </w:rPr>
        <w:t xml:space="preserve"> duty</w:t>
      </w:r>
      <w:r>
        <w:rPr>
          <w:sz w:val="24"/>
          <w:szCs w:val="24"/>
        </w:rPr>
        <w:t xml:space="preserve"> has a role to play in the battle against authorised payment scams. I</w:t>
      </w:r>
      <w:r w:rsidR="00C635D5">
        <w:rPr>
          <w:sz w:val="24"/>
          <w:szCs w:val="24"/>
        </w:rPr>
        <w:t xml:space="preserve">t </w:t>
      </w:r>
      <w:r w:rsidR="000F15C5">
        <w:rPr>
          <w:sz w:val="24"/>
          <w:szCs w:val="24"/>
        </w:rPr>
        <w:t>c</w:t>
      </w:r>
      <w:r w:rsidR="00C635D5">
        <w:rPr>
          <w:sz w:val="24"/>
          <w:szCs w:val="24"/>
        </w:rPr>
        <w:t>ould</w:t>
      </w:r>
      <w:r>
        <w:rPr>
          <w:sz w:val="24"/>
          <w:szCs w:val="24"/>
        </w:rPr>
        <w:t>, for example,</w:t>
      </w:r>
      <w:r w:rsidR="00C635D5">
        <w:rPr>
          <w:sz w:val="24"/>
          <w:szCs w:val="24"/>
        </w:rPr>
        <w:t xml:space="preserve"> make a difference </w:t>
      </w:r>
      <w:r w:rsidR="003D7AD6">
        <w:rPr>
          <w:sz w:val="24"/>
          <w:szCs w:val="24"/>
        </w:rPr>
        <w:t xml:space="preserve">in </w:t>
      </w:r>
      <w:r>
        <w:rPr>
          <w:sz w:val="24"/>
          <w:szCs w:val="24"/>
        </w:rPr>
        <w:t xml:space="preserve">a case like </w:t>
      </w:r>
      <w:r w:rsidR="003D7AD6" w:rsidRPr="00B13FD3">
        <w:rPr>
          <w:i/>
          <w:iCs/>
          <w:sz w:val="24"/>
          <w:szCs w:val="24"/>
        </w:rPr>
        <w:t>Philipp</w:t>
      </w:r>
      <w:r w:rsidR="003F396E">
        <w:rPr>
          <w:sz w:val="24"/>
          <w:szCs w:val="24"/>
        </w:rPr>
        <w:t>,</w:t>
      </w:r>
      <w:r w:rsidR="003D7AD6">
        <w:rPr>
          <w:sz w:val="24"/>
          <w:szCs w:val="24"/>
        </w:rPr>
        <w:t xml:space="preserve"> </w:t>
      </w:r>
      <w:r w:rsidR="003F396E">
        <w:rPr>
          <w:sz w:val="24"/>
          <w:szCs w:val="24"/>
        </w:rPr>
        <w:t>w</w:t>
      </w:r>
      <w:r w:rsidR="003D7AD6">
        <w:rPr>
          <w:sz w:val="24"/>
          <w:szCs w:val="24"/>
        </w:rPr>
        <w:t>he</w:t>
      </w:r>
      <w:r>
        <w:rPr>
          <w:sz w:val="24"/>
          <w:szCs w:val="24"/>
        </w:rPr>
        <w:t xml:space="preserve">re </w:t>
      </w:r>
      <w:r w:rsidR="003D7AD6">
        <w:rPr>
          <w:sz w:val="24"/>
          <w:szCs w:val="24"/>
        </w:rPr>
        <w:t xml:space="preserve">the sums involved </w:t>
      </w:r>
      <w:r w:rsidR="003F396E">
        <w:rPr>
          <w:sz w:val="24"/>
          <w:szCs w:val="24"/>
        </w:rPr>
        <w:t>a</w:t>
      </w:r>
      <w:r w:rsidR="003D7AD6">
        <w:rPr>
          <w:sz w:val="24"/>
          <w:szCs w:val="24"/>
        </w:rPr>
        <w:t>re relatively large, the</w:t>
      </w:r>
      <w:r w:rsidR="004F0E6B">
        <w:rPr>
          <w:sz w:val="24"/>
          <w:szCs w:val="24"/>
        </w:rPr>
        <w:t xml:space="preserve">re </w:t>
      </w:r>
      <w:r w:rsidR="003F396E">
        <w:rPr>
          <w:sz w:val="24"/>
          <w:szCs w:val="24"/>
        </w:rPr>
        <w:t>i</w:t>
      </w:r>
      <w:r w:rsidR="004F0E6B">
        <w:rPr>
          <w:sz w:val="24"/>
          <w:szCs w:val="24"/>
        </w:rPr>
        <w:t>s no previous history of payments to the</w:t>
      </w:r>
      <w:r w:rsidR="003D7AD6">
        <w:rPr>
          <w:sz w:val="24"/>
          <w:szCs w:val="24"/>
        </w:rPr>
        <w:t xml:space="preserve"> payee</w:t>
      </w:r>
      <w:r w:rsidR="006F1CE5">
        <w:rPr>
          <w:sz w:val="24"/>
          <w:szCs w:val="24"/>
        </w:rPr>
        <w:t xml:space="preserve">, and the payee </w:t>
      </w:r>
      <w:r w:rsidR="003F396E">
        <w:rPr>
          <w:sz w:val="24"/>
          <w:szCs w:val="24"/>
        </w:rPr>
        <w:t>i</w:t>
      </w:r>
      <w:r w:rsidR="003D7AD6">
        <w:rPr>
          <w:sz w:val="24"/>
          <w:szCs w:val="24"/>
        </w:rPr>
        <w:t xml:space="preserve">s in </w:t>
      </w:r>
      <w:r w:rsidR="004F0E6B">
        <w:rPr>
          <w:sz w:val="24"/>
          <w:szCs w:val="24"/>
        </w:rPr>
        <w:t xml:space="preserve">another jurisdiction. </w:t>
      </w:r>
      <w:r w:rsidR="00417F94">
        <w:rPr>
          <w:sz w:val="24"/>
          <w:szCs w:val="24"/>
        </w:rPr>
        <w:t>B</w:t>
      </w:r>
      <w:r w:rsidR="00A5107C">
        <w:rPr>
          <w:sz w:val="24"/>
          <w:szCs w:val="24"/>
        </w:rPr>
        <w:t xml:space="preserve">anks are </w:t>
      </w:r>
      <w:r w:rsidR="00DA050C">
        <w:rPr>
          <w:sz w:val="24"/>
          <w:szCs w:val="24"/>
        </w:rPr>
        <w:t>quite well</w:t>
      </w:r>
      <w:r w:rsidR="00A5107C">
        <w:rPr>
          <w:sz w:val="24"/>
          <w:szCs w:val="24"/>
        </w:rPr>
        <w:t xml:space="preserve">-attuned to </w:t>
      </w:r>
      <w:r w:rsidR="000F15C5">
        <w:rPr>
          <w:sz w:val="24"/>
          <w:szCs w:val="24"/>
        </w:rPr>
        <w:t xml:space="preserve">detect </w:t>
      </w:r>
      <w:r w:rsidR="00A5107C">
        <w:rPr>
          <w:sz w:val="24"/>
          <w:szCs w:val="24"/>
        </w:rPr>
        <w:t>scam</w:t>
      </w:r>
      <w:r w:rsidR="000F15C5">
        <w:rPr>
          <w:sz w:val="24"/>
          <w:szCs w:val="24"/>
        </w:rPr>
        <w:t>s</w:t>
      </w:r>
      <w:r w:rsidR="00A5107C">
        <w:rPr>
          <w:sz w:val="24"/>
          <w:szCs w:val="24"/>
        </w:rPr>
        <w:t xml:space="preserve"> and if </w:t>
      </w:r>
      <w:r w:rsidR="00DA050C">
        <w:rPr>
          <w:sz w:val="24"/>
          <w:szCs w:val="24"/>
        </w:rPr>
        <w:t xml:space="preserve">a transaction </w:t>
      </w:r>
      <w:r w:rsidR="00900757">
        <w:rPr>
          <w:sz w:val="24"/>
          <w:szCs w:val="24"/>
        </w:rPr>
        <w:t>is objectively suspicious</w:t>
      </w:r>
      <w:r w:rsidR="00A5107C">
        <w:rPr>
          <w:sz w:val="24"/>
          <w:szCs w:val="24"/>
        </w:rPr>
        <w:t xml:space="preserve">, it should not matter whether the instruction </w:t>
      </w:r>
      <w:r w:rsidR="000F15C5">
        <w:rPr>
          <w:sz w:val="24"/>
          <w:szCs w:val="24"/>
        </w:rPr>
        <w:t>involves a rogue agent or not</w:t>
      </w:r>
      <w:r w:rsidR="006F1CE5">
        <w:rPr>
          <w:sz w:val="24"/>
          <w:szCs w:val="24"/>
        </w:rPr>
        <w:t>;</w:t>
      </w:r>
      <w:r w:rsidR="00A27D98">
        <w:rPr>
          <w:sz w:val="24"/>
          <w:szCs w:val="24"/>
        </w:rPr>
        <w:t xml:space="preserve"> they should take the steps a prudent bank would take in the circumstances.</w:t>
      </w:r>
    </w:p>
    <w:p w14:paraId="67857430" w14:textId="0D9C0B1D" w:rsidR="00417F94" w:rsidRDefault="00417F94" w:rsidP="00056957">
      <w:pPr>
        <w:rPr>
          <w:sz w:val="24"/>
          <w:szCs w:val="24"/>
        </w:rPr>
      </w:pPr>
      <w:r>
        <w:rPr>
          <w:sz w:val="24"/>
          <w:szCs w:val="24"/>
        </w:rPr>
        <w:lastRenderedPageBreak/>
        <w:t xml:space="preserve">There </w:t>
      </w:r>
      <w:r w:rsidR="000F15C5">
        <w:rPr>
          <w:sz w:val="24"/>
          <w:szCs w:val="24"/>
        </w:rPr>
        <w:t>is</w:t>
      </w:r>
      <w:r>
        <w:rPr>
          <w:sz w:val="24"/>
          <w:szCs w:val="24"/>
        </w:rPr>
        <w:t xml:space="preserve"> some debate in the case law about what a bank should do </w:t>
      </w:r>
      <w:r w:rsidR="00DA050C">
        <w:rPr>
          <w:sz w:val="24"/>
          <w:szCs w:val="24"/>
        </w:rPr>
        <w:t>once its suspicions are aroused</w:t>
      </w:r>
      <w:r w:rsidR="000F15C5">
        <w:rPr>
          <w:sz w:val="24"/>
          <w:szCs w:val="24"/>
        </w:rPr>
        <w:t xml:space="preserve">. </w:t>
      </w:r>
      <w:r w:rsidR="00DA0509">
        <w:rPr>
          <w:sz w:val="24"/>
          <w:szCs w:val="24"/>
        </w:rPr>
        <w:t>There may be no easy answer i</w:t>
      </w:r>
      <w:r>
        <w:rPr>
          <w:sz w:val="24"/>
          <w:szCs w:val="24"/>
        </w:rPr>
        <w:t xml:space="preserve">n some </w:t>
      </w:r>
      <w:r w:rsidR="00DA0509">
        <w:rPr>
          <w:sz w:val="24"/>
          <w:szCs w:val="24"/>
        </w:rPr>
        <w:t>situations,</w:t>
      </w:r>
      <w:r>
        <w:rPr>
          <w:sz w:val="24"/>
          <w:szCs w:val="24"/>
        </w:rPr>
        <w:t xml:space="preserve"> </w:t>
      </w:r>
      <w:r w:rsidR="000F15C5">
        <w:rPr>
          <w:sz w:val="24"/>
          <w:szCs w:val="24"/>
        </w:rPr>
        <w:t>but t</w:t>
      </w:r>
      <w:r>
        <w:rPr>
          <w:sz w:val="24"/>
          <w:szCs w:val="24"/>
        </w:rPr>
        <w:t xml:space="preserve">hat problem </w:t>
      </w:r>
      <w:r w:rsidR="005A4AB5">
        <w:rPr>
          <w:sz w:val="24"/>
          <w:szCs w:val="24"/>
        </w:rPr>
        <w:t>arise</w:t>
      </w:r>
      <w:r>
        <w:rPr>
          <w:sz w:val="24"/>
          <w:szCs w:val="24"/>
        </w:rPr>
        <w:t xml:space="preserve">s </w:t>
      </w:r>
      <w:r w:rsidR="00DA0509">
        <w:rPr>
          <w:sz w:val="24"/>
          <w:szCs w:val="24"/>
        </w:rPr>
        <w:t>when the fraudster is a senior employee or official of the victim,</w:t>
      </w:r>
      <w:r w:rsidR="006F1CE5">
        <w:rPr>
          <w:rStyle w:val="FootnoteReference"/>
          <w:sz w:val="24"/>
          <w:szCs w:val="24"/>
        </w:rPr>
        <w:footnoteReference w:id="93"/>
      </w:r>
      <w:r w:rsidR="006F1CE5">
        <w:rPr>
          <w:sz w:val="24"/>
          <w:szCs w:val="24"/>
        </w:rPr>
        <w:t xml:space="preserve"> </w:t>
      </w:r>
      <w:r w:rsidR="00DA0509">
        <w:rPr>
          <w:sz w:val="24"/>
          <w:szCs w:val="24"/>
        </w:rPr>
        <w:t xml:space="preserve"> which is not representative of authorised scam </w:t>
      </w:r>
      <w:r w:rsidR="0082600C">
        <w:rPr>
          <w:sz w:val="24"/>
          <w:szCs w:val="24"/>
        </w:rPr>
        <w:t>case</w:t>
      </w:r>
      <w:r>
        <w:rPr>
          <w:sz w:val="24"/>
          <w:szCs w:val="24"/>
        </w:rPr>
        <w:t>s</w:t>
      </w:r>
      <w:r w:rsidR="000F15C5">
        <w:rPr>
          <w:sz w:val="24"/>
          <w:szCs w:val="24"/>
        </w:rPr>
        <w:t>,</w:t>
      </w:r>
      <w:r w:rsidR="0082600C">
        <w:rPr>
          <w:sz w:val="24"/>
          <w:szCs w:val="24"/>
        </w:rPr>
        <w:t xml:space="preserve"> </w:t>
      </w:r>
      <w:r>
        <w:rPr>
          <w:sz w:val="24"/>
          <w:szCs w:val="24"/>
        </w:rPr>
        <w:t xml:space="preserve">and </w:t>
      </w:r>
      <w:r w:rsidR="000F15C5">
        <w:rPr>
          <w:sz w:val="24"/>
          <w:szCs w:val="24"/>
        </w:rPr>
        <w:t xml:space="preserve">it </w:t>
      </w:r>
      <w:r>
        <w:rPr>
          <w:sz w:val="24"/>
          <w:szCs w:val="24"/>
        </w:rPr>
        <w:t xml:space="preserve">is not a reason to restrict the </w:t>
      </w:r>
      <w:r w:rsidR="006F1CE5">
        <w:rPr>
          <w:sz w:val="24"/>
          <w:szCs w:val="24"/>
        </w:rPr>
        <w:t xml:space="preserve">scope of the </w:t>
      </w:r>
      <w:r>
        <w:rPr>
          <w:sz w:val="24"/>
          <w:szCs w:val="24"/>
        </w:rPr>
        <w:t xml:space="preserve">duty. </w:t>
      </w:r>
      <w:r w:rsidR="006F1CE5">
        <w:rPr>
          <w:sz w:val="24"/>
          <w:szCs w:val="24"/>
        </w:rPr>
        <w:t>In many scam cases, a</w:t>
      </w:r>
      <w:r>
        <w:rPr>
          <w:sz w:val="24"/>
          <w:szCs w:val="24"/>
        </w:rPr>
        <w:t xml:space="preserve"> query addressed to the customer or its representative will usually suffice</w:t>
      </w:r>
      <w:r w:rsidR="006F1CE5">
        <w:rPr>
          <w:sz w:val="24"/>
          <w:szCs w:val="24"/>
        </w:rPr>
        <w:t xml:space="preserve"> to discharge the duty</w:t>
      </w:r>
      <w:r>
        <w:rPr>
          <w:sz w:val="24"/>
          <w:szCs w:val="24"/>
        </w:rPr>
        <w:t>.</w:t>
      </w:r>
    </w:p>
    <w:p w14:paraId="233961F3" w14:textId="3BEB3B87" w:rsidR="005A3C9D" w:rsidRDefault="00417F94" w:rsidP="009C1B83">
      <w:pPr>
        <w:rPr>
          <w:sz w:val="24"/>
          <w:szCs w:val="24"/>
        </w:rPr>
      </w:pPr>
      <w:r>
        <w:rPr>
          <w:sz w:val="24"/>
          <w:szCs w:val="24"/>
        </w:rPr>
        <w:t xml:space="preserve">It is encouraging that Barclays Bank did indeed query the instructions in </w:t>
      </w:r>
      <w:r>
        <w:rPr>
          <w:i/>
          <w:iCs/>
          <w:sz w:val="24"/>
          <w:szCs w:val="24"/>
        </w:rPr>
        <w:t>Philipp</w:t>
      </w:r>
      <w:r>
        <w:rPr>
          <w:sz w:val="24"/>
          <w:szCs w:val="24"/>
        </w:rPr>
        <w:t xml:space="preserve">, but it is </w:t>
      </w:r>
      <w:r w:rsidR="00AA04BA">
        <w:rPr>
          <w:sz w:val="24"/>
          <w:szCs w:val="24"/>
        </w:rPr>
        <w:t>disappointing</w:t>
      </w:r>
      <w:r>
        <w:rPr>
          <w:sz w:val="24"/>
          <w:szCs w:val="24"/>
        </w:rPr>
        <w:t xml:space="preserve"> that the </w:t>
      </w:r>
      <w:r w:rsidR="00924DC3">
        <w:rPr>
          <w:sz w:val="24"/>
          <w:szCs w:val="24"/>
        </w:rPr>
        <w:t xml:space="preserve">law should </w:t>
      </w:r>
      <w:r>
        <w:rPr>
          <w:sz w:val="24"/>
          <w:szCs w:val="24"/>
        </w:rPr>
        <w:t xml:space="preserve">consider that it need not have. </w:t>
      </w:r>
      <w:r w:rsidR="00DA050C">
        <w:rPr>
          <w:sz w:val="24"/>
          <w:szCs w:val="24"/>
        </w:rPr>
        <w:t>B</w:t>
      </w:r>
      <w:r w:rsidR="005A4AB5">
        <w:rPr>
          <w:sz w:val="24"/>
          <w:szCs w:val="24"/>
        </w:rPr>
        <w:t xml:space="preserve">anks </w:t>
      </w:r>
      <w:r w:rsidR="00060145">
        <w:rPr>
          <w:sz w:val="24"/>
          <w:szCs w:val="24"/>
        </w:rPr>
        <w:t>already</w:t>
      </w:r>
      <w:r w:rsidR="00DA050C">
        <w:rPr>
          <w:sz w:val="24"/>
          <w:szCs w:val="24"/>
        </w:rPr>
        <w:t xml:space="preserve"> take </w:t>
      </w:r>
      <w:r w:rsidR="005A4AB5">
        <w:rPr>
          <w:sz w:val="24"/>
          <w:szCs w:val="24"/>
        </w:rPr>
        <w:t xml:space="preserve">steps to detect scams. </w:t>
      </w:r>
      <w:r w:rsidR="00585AE2">
        <w:rPr>
          <w:sz w:val="24"/>
          <w:szCs w:val="24"/>
        </w:rPr>
        <w:t>Examples are t</w:t>
      </w:r>
      <w:r w:rsidR="00DA050C">
        <w:rPr>
          <w:sz w:val="24"/>
          <w:szCs w:val="24"/>
        </w:rPr>
        <w:t xml:space="preserve">he </w:t>
      </w:r>
      <w:r w:rsidR="005A3C9D">
        <w:rPr>
          <w:sz w:val="24"/>
          <w:szCs w:val="24"/>
        </w:rPr>
        <w:t>us</w:t>
      </w:r>
      <w:r w:rsidR="00DA050C">
        <w:rPr>
          <w:sz w:val="24"/>
          <w:szCs w:val="24"/>
        </w:rPr>
        <w:t>e</w:t>
      </w:r>
      <w:r w:rsidR="005A3C9D">
        <w:rPr>
          <w:sz w:val="24"/>
          <w:szCs w:val="24"/>
        </w:rPr>
        <w:t xml:space="preserve"> technology to de</w:t>
      </w:r>
      <w:r w:rsidR="005A4AB5">
        <w:rPr>
          <w:sz w:val="24"/>
          <w:szCs w:val="24"/>
        </w:rPr>
        <w:t xml:space="preserve">tect </w:t>
      </w:r>
      <w:r w:rsidR="00060145">
        <w:rPr>
          <w:sz w:val="24"/>
          <w:szCs w:val="24"/>
        </w:rPr>
        <w:t>unusual</w:t>
      </w:r>
      <w:r w:rsidR="00585AE2">
        <w:rPr>
          <w:sz w:val="24"/>
          <w:szCs w:val="24"/>
        </w:rPr>
        <w:t xml:space="preserve"> features, such as </w:t>
      </w:r>
      <w:r w:rsidR="005A4AB5">
        <w:rPr>
          <w:sz w:val="24"/>
          <w:szCs w:val="24"/>
        </w:rPr>
        <w:t>out-of-character</w:t>
      </w:r>
      <w:r w:rsidR="00585AE2">
        <w:rPr>
          <w:sz w:val="24"/>
          <w:szCs w:val="24"/>
        </w:rPr>
        <w:t xml:space="preserve"> transactions</w:t>
      </w:r>
      <w:r w:rsidR="005A4AB5">
        <w:rPr>
          <w:sz w:val="24"/>
          <w:szCs w:val="24"/>
        </w:rPr>
        <w:t xml:space="preserve">, </w:t>
      </w:r>
      <w:r w:rsidR="005A3C9D">
        <w:rPr>
          <w:sz w:val="24"/>
          <w:szCs w:val="24"/>
        </w:rPr>
        <w:t xml:space="preserve">the use of </w:t>
      </w:r>
      <w:r w:rsidR="00060145">
        <w:rPr>
          <w:sz w:val="24"/>
          <w:szCs w:val="24"/>
        </w:rPr>
        <w:t xml:space="preserve">unrecognised </w:t>
      </w:r>
      <w:r w:rsidR="005A3C9D">
        <w:rPr>
          <w:sz w:val="24"/>
          <w:szCs w:val="24"/>
        </w:rPr>
        <w:t xml:space="preserve">devices </w:t>
      </w:r>
      <w:r w:rsidR="00DA050C">
        <w:rPr>
          <w:sz w:val="24"/>
          <w:szCs w:val="24"/>
        </w:rPr>
        <w:t xml:space="preserve">to access accounts and </w:t>
      </w:r>
      <w:r w:rsidR="00585AE2">
        <w:rPr>
          <w:sz w:val="24"/>
          <w:szCs w:val="24"/>
        </w:rPr>
        <w:t>transactions</w:t>
      </w:r>
      <w:r w:rsidR="00DA050C">
        <w:rPr>
          <w:sz w:val="24"/>
          <w:szCs w:val="24"/>
        </w:rPr>
        <w:t xml:space="preserve"> emanating from </w:t>
      </w:r>
      <w:r w:rsidR="005A3C9D">
        <w:rPr>
          <w:sz w:val="24"/>
          <w:szCs w:val="24"/>
        </w:rPr>
        <w:t>an unusual environment.</w:t>
      </w:r>
      <w:r w:rsidR="005A3C9D">
        <w:rPr>
          <w:rStyle w:val="FootnoteReference"/>
          <w:sz w:val="24"/>
          <w:szCs w:val="24"/>
        </w:rPr>
        <w:footnoteReference w:id="94"/>
      </w:r>
      <w:r w:rsidR="005A3C9D">
        <w:rPr>
          <w:sz w:val="24"/>
          <w:szCs w:val="24"/>
        </w:rPr>
        <w:t xml:space="preserve"> </w:t>
      </w:r>
      <w:r w:rsidR="00961D7B">
        <w:rPr>
          <w:sz w:val="24"/>
          <w:szCs w:val="24"/>
        </w:rPr>
        <w:t xml:space="preserve">The </w:t>
      </w:r>
      <w:r w:rsidR="00060145">
        <w:rPr>
          <w:sz w:val="24"/>
          <w:szCs w:val="24"/>
        </w:rPr>
        <w:t xml:space="preserve">fact that banks are already </w:t>
      </w:r>
      <w:r w:rsidR="00961D7B">
        <w:rPr>
          <w:sz w:val="24"/>
          <w:szCs w:val="24"/>
        </w:rPr>
        <w:t>taking su</w:t>
      </w:r>
      <w:r w:rsidR="005A3C9D">
        <w:rPr>
          <w:sz w:val="24"/>
          <w:szCs w:val="24"/>
        </w:rPr>
        <w:t xml:space="preserve">ch </w:t>
      </w:r>
      <w:r w:rsidR="00961D7B">
        <w:rPr>
          <w:sz w:val="24"/>
          <w:szCs w:val="24"/>
        </w:rPr>
        <w:t xml:space="preserve">measures </w:t>
      </w:r>
      <w:r w:rsidR="00060145">
        <w:rPr>
          <w:sz w:val="24"/>
          <w:szCs w:val="24"/>
        </w:rPr>
        <w:t xml:space="preserve">should </w:t>
      </w:r>
      <w:r w:rsidR="005A3C9D">
        <w:rPr>
          <w:sz w:val="24"/>
          <w:szCs w:val="24"/>
        </w:rPr>
        <w:t>surely influence our view of what can be expected of a reasonable bank</w:t>
      </w:r>
      <w:r w:rsidR="00060145">
        <w:rPr>
          <w:sz w:val="24"/>
          <w:szCs w:val="24"/>
        </w:rPr>
        <w:t xml:space="preserve">. It also </w:t>
      </w:r>
      <w:r w:rsidR="005A3C9D">
        <w:rPr>
          <w:sz w:val="24"/>
          <w:szCs w:val="24"/>
        </w:rPr>
        <w:t>suggests that the</w:t>
      </w:r>
      <w:r w:rsidR="005A4AB5">
        <w:rPr>
          <w:sz w:val="24"/>
          <w:szCs w:val="24"/>
        </w:rPr>
        <w:t xml:space="preserve"> </w:t>
      </w:r>
      <w:r w:rsidR="005A3C9D">
        <w:rPr>
          <w:i/>
          <w:iCs/>
          <w:sz w:val="24"/>
          <w:szCs w:val="24"/>
        </w:rPr>
        <w:t xml:space="preserve">Quincecare </w:t>
      </w:r>
      <w:r w:rsidR="005A3C9D">
        <w:rPr>
          <w:sz w:val="24"/>
          <w:szCs w:val="24"/>
        </w:rPr>
        <w:t>duty, narrowly construed, is out of step with reality.</w:t>
      </w:r>
    </w:p>
    <w:p w14:paraId="7AE89CC9" w14:textId="4F8ED01B" w:rsidR="00C11F0D" w:rsidRDefault="00C11F0D" w:rsidP="00056957">
      <w:pPr>
        <w:rPr>
          <w:sz w:val="24"/>
          <w:szCs w:val="24"/>
        </w:rPr>
      </w:pPr>
    </w:p>
    <w:sectPr w:rsidR="00C11F0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273602" w14:textId="77777777" w:rsidR="000002B2" w:rsidRDefault="000002B2" w:rsidP="00995FFE">
      <w:pPr>
        <w:spacing w:after="0" w:line="240" w:lineRule="auto"/>
      </w:pPr>
      <w:r>
        <w:separator/>
      </w:r>
    </w:p>
  </w:endnote>
  <w:endnote w:type="continuationSeparator" w:id="0">
    <w:p w14:paraId="0953F399" w14:textId="77777777" w:rsidR="000002B2" w:rsidRDefault="000002B2" w:rsidP="00995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0A350" w14:textId="77777777" w:rsidR="00E86723" w:rsidRDefault="00E867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452440"/>
      <w:docPartObj>
        <w:docPartGallery w:val="Page Numbers (Bottom of Page)"/>
        <w:docPartUnique/>
      </w:docPartObj>
    </w:sdtPr>
    <w:sdtEndPr>
      <w:rPr>
        <w:noProof/>
      </w:rPr>
    </w:sdtEndPr>
    <w:sdtContent>
      <w:p w14:paraId="0430ADF3" w14:textId="131ABD78" w:rsidR="000002B2" w:rsidRDefault="000002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8EABE5" w14:textId="77777777" w:rsidR="000002B2" w:rsidRDefault="000002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6413E" w14:textId="77777777" w:rsidR="00E86723" w:rsidRDefault="00E867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CDD211" w14:textId="77777777" w:rsidR="000002B2" w:rsidRDefault="000002B2" w:rsidP="00995FFE">
      <w:pPr>
        <w:spacing w:after="0" w:line="240" w:lineRule="auto"/>
      </w:pPr>
      <w:r>
        <w:separator/>
      </w:r>
    </w:p>
  </w:footnote>
  <w:footnote w:type="continuationSeparator" w:id="0">
    <w:p w14:paraId="38AEE12D" w14:textId="77777777" w:rsidR="000002B2" w:rsidRDefault="000002B2" w:rsidP="00995FFE">
      <w:pPr>
        <w:spacing w:after="0" w:line="240" w:lineRule="auto"/>
      </w:pPr>
      <w:r>
        <w:continuationSeparator/>
      </w:r>
    </w:p>
  </w:footnote>
  <w:footnote w:id="1">
    <w:p w14:paraId="135904D2" w14:textId="77777777" w:rsidR="00566CF2" w:rsidRPr="00C10F26" w:rsidRDefault="00566CF2" w:rsidP="00566CF2">
      <w:pPr>
        <w:pStyle w:val="FootnoteText"/>
        <w:jc w:val="both"/>
      </w:pPr>
      <w:r w:rsidRPr="00C10F26">
        <w:rPr>
          <w:rFonts w:ascii="Times New Roman" w:hAnsi="Times New Roman"/>
        </w:rPr>
        <w:t xml:space="preserve">* </w:t>
      </w:r>
      <w:r w:rsidRPr="00C10F26">
        <w:rPr>
          <w:rFonts w:eastAsiaTheme="minorEastAsia"/>
          <w:lang w:eastAsia="en-SG"/>
        </w:rPr>
        <w:t xml:space="preserve">Associate Professor, Faculty of Law, National University of Singapore. I thank the </w:t>
      </w:r>
      <w:r w:rsidRPr="00910698">
        <w:rPr>
          <w:rFonts w:eastAsiaTheme="minorEastAsia"/>
          <w:lang w:eastAsia="en-SG"/>
        </w:rPr>
        <w:t xml:space="preserve">International Academy of Commercial and Consumer Law </w:t>
      </w:r>
      <w:r w:rsidRPr="00C10F26">
        <w:rPr>
          <w:rFonts w:eastAsiaTheme="minorEastAsia"/>
          <w:lang w:eastAsia="en-SG"/>
        </w:rPr>
        <w:t xml:space="preserve">for inviting me to </w:t>
      </w:r>
      <w:r>
        <w:rPr>
          <w:rFonts w:eastAsiaTheme="minorEastAsia"/>
          <w:lang w:eastAsia="en-SG"/>
        </w:rPr>
        <w:t>participate in the 20</w:t>
      </w:r>
      <w:r w:rsidRPr="00910698">
        <w:rPr>
          <w:rFonts w:eastAsiaTheme="minorEastAsia"/>
          <w:vertAlign w:val="superscript"/>
          <w:lang w:eastAsia="en-SG"/>
        </w:rPr>
        <w:t>th</w:t>
      </w:r>
      <w:r>
        <w:rPr>
          <w:rFonts w:eastAsiaTheme="minorEastAsia"/>
          <w:lang w:eastAsia="en-SG"/>
        </w:rPr>
        <w:t xml:space="preserve"> IACCL meeting, and </w:t>
      </w:r>
      <w:r w:rsidRPr="00C10F26">
        <w:rPr>
          <w:rFonts w:eastAsiaTheme="minorEastAsia"/>
          <w:lang w:eastAsia="en-SG"/>
        </w:rPr>
        <w:t>I thank Lee Kay Han for research assistance.</w:t>
      </w:r>
    </w:p>
  </w:footnote>
  <w:footnote w:id="2">
    <w:p w14:paraId="4B6B8A52" w14:textId="77777777" w:rsidR="0012366F" w:rsidRPr="00013489" w:rsidRDefault="0012366F" w:rsidP="0012366F">
      <w:pPr>
        <w:pStyle w:val="FootnoteText"/>
      </w:pPr>
      <w:r>
        <w:rPr>
          <w:rStyle w:val="FootnoteReference"/>
        </w:rPr>
        <w:footnoteRef/>
      </w:r>
      <w:r>
        <w:t xml:space="preserve"> Lending Standards Board ‘</w:t>
      </w:r>
      <w:r w:rsidRPr="00BD19D9">
        <w:t xml:space="preserve">Contingent Reimbursement Model Code (CRM) for Authorised Push Payment </w:t>
      </w:r>
      <w:r w:rsidRPr="00013489">
        <w:t>Scams’ available at: &lt;https://www.lendingstandardsboard.org.uk/category/contingent-reimbursement-model-code/&gt;.</w:t>
      </w:r>
    </w:p>
  </w:footnote>
  <w:footnote w:id="3">
    <w:p w14:paraId="775A221A" w14:textId="6A39F872" w:rsidR="00D5117F" w:rsidRDefault="00D5117F">
      <w:pPr>
        <w:pStyle w:val="FootnoteText"/>
      </w:pPr>
      <w:r>
        <w:rPr>
          <w:rStyle w:val="FootnoteReference"/>
        </w:rPr>
        <w:footnoteRef/>
      </w:r>
      <w:r>
        <w:t xml:space="preserve"> </w:t>
      </w:r>
      <w:r>
        <w:t xml:space="preserve">See </w:t>
      </w:r>
      <w:r w:rsidRPr="00013489">
        <w:t>UK Finance</w:t>
      </w:r>
      <w:r>
        <w:t xml:space="preserve"> ‘Criminals Exploit Covid-19 as Fraud Moves Increasingly Online’ (23 September 2020), available at:</w:t>
      </w:r>
      <w:r w:rsidRPr="00013489">
        <w:t xml:space="preserve"> </w:t>
      </w:r>
      <w:r>
        <w:t>&lt;</w:t>
      </w:r>
      <w:r w:rsidRPr="00101E87">
        <w:t>https://www.ukfinance.org.uk/press/press-releases/criminals-exploit-covid-19-fraud-moves-increasingly-online</w:t>
      </w:r>
      <w:r>
        <w:t>&gt;.</w:t>
      </w:r>
      <w:r w:rsidRPr="00013489">
        <w:t xml:space="preserve"> </w:t>
      </w:r>
      <w:r w:rsidR="006C6E9D">
        <w:t>See also</w:t>
      </w:r>
      <w:r w:rsidR="006C6E9D">
        <w:t xml:space="preserve"> UK Finance ‘Impersonation Scams Almost Double in First Half of 2020 as Criminals Exploit Covid-19 to Target Victims” (15 September 2020), available at: </w:t>
      </w:r>
      <w:r w:rsidR="006C6E9D" w:rsidRPr="00814EFC">
        <w:t>https://www.ukfinance.org.uk/covid-19-press-releases/impersonation-scams-almost-double-in-first-half-of-2020</w:t>
      </w:r>
      <w:r w:rsidR="006C6E9D">
        <w:t>, reporting 15,000 impersonation scams between January and June 2020, an 84% increase from the same period in 2019.</w:t>
      </w:r>
    </w:p>
  </w:footnote>
  <w:footnote w:id="4">
    <w:p w14:paraId="5E3FEBD0" w14:textId="74123C0E" w:rsidR="00D5117F" w:rsidRDefault="00D5117F">
      <w:pPr>
        <w:pStyle w:val="FootnoteText"/>
      </w:pPr>
      <w:r>
        <w:rPr>
          <w:rStyle w:val="FootnoteReference"/>
        </w:rPr>
        <w:footnoteRef/>
      </w:r>
      <w:r>
        <w:t xml:space="preserve"> </w:t>
      </w:r>
      <w:bookmarkStart w:id="2" w:name="_Hlk74142820"/>
      <w:bookmarkStart w:id="3" w:name="_Hlk76815633"/>
      <w:r>
        <w:t xml:space="preserve">Australian Competition &amp; Consumer Commission </w:t>
      </w:r>
      <w:bookmarkEnd w:id="3"/>
      <w:r>
        <w:t>‘Targeting scams: Report of the ACCC on scams activity 2020’ June 2021, p 1</w:t>
      </w:r>
      <w:bookmarkEnd w:id="2"/>
      <w:r>
        <w:t>: available at: &lt;</w:t>
      </w:r>
      <w:r w:rsidRPr="00B84498">
        <w:t>https://www.accc.gov.au/system/files/Targeting%20scams%20-%20report%20of%20the%20ACCC%20on%20scams%20activity%202020.pdf</w:t>
      </w:r>
      <w:r>
        <w:t>&gt;.</w:t>
      </w:r>
    </w:p>
  </w:footnote>
  <w:footnote w:id="5">
    <w:p w14:paraId="680CA7EF" w14:textId="77777777" w:rsidR="0012366F" w:rsidRDefault="0012366F" w:rsidP="0012366F">
      <w:pPr>
        <w:pStyle w:val="FootnoteText"/>
      </w:pPr>
      <w:r>
        <w:rPr>
          <w:rStyle w:val="FootnoteReference"/>
        </w:rPr>
        <w:footnoteRef/>
      </w:r>
      <w:r>
        <w:t xml:space="preserve"> Scammers set up fake donation and charity pages, see Australian Competition &amp; Consumer Commission ‘Targeting scams: Report of the ACCC on scams activity 2020’ June 2021, para 4.4.</w:t>
      </w:r>
    </w:p>
  </w:footnote>
  <w:footnote w:id="6">
    <w:p w14:paraId="48936493" w14:textId="4C2F5C93" w:rsidR="0012366F" w:rsidRDefault="0012366F" w:rsidP="0012366F">
      <w:pPr>
        <w:pStyle w:val="FootnoteText"/>
      </w:pPr>
      <w:r>
        <w:rPr>
          <w:rStyle w:val="FootnoteReference"/>
        </w:rPr>
        <w:footnoteRef/>
      </w:r>
      <w:r>
        <w:t xml:space="preserve"> A payment authorised by the account holder or a legitimate signatory constitutes a binding instruction on the payment services provider, see </w:t>
      </w:r>
      <w:r w:rsidR="00F5041E">
        <w:t xml:space="preserve">for example, </w:t>
      </w:r>
      <w:r w:rsidR="00F5041E" w:rsidRPr="00F5041E">
        <w:rPr>
          <w:i/>
          <w:iCs/>
        </w:rPr>
        <w:t>Barclays Bank Ltd v W J Simms Son &amp; Cooke (Southern) Ltd</w:t>
      </w:r>
      <w:r w:rsidR="00F5041E" w:rsidRPr="00F5041E">
        <w:t xml:space="preserve"> [1980] QB 677 at 699C; </w:t>
      </w:r>
      <w:r w:rsidR="00F5041E" w:rsidRPr="00F5041E">
        <w:rPr>
          <w:i/>
          <w:iCs/>
        </w:rPr>
        <w:t xml:space="preserve">Hsu Ann Mei Amy v Oversea-Chinese Banking Corp Ltd </w:t>
      </w:r>
      <w:r w:rsidR="00F5041E" w:rsidRPr="00F5041E">
        <w:t>[2011] 2 SLR 178</w:t>
      </w:r>
      <w:r w:rsidR="00F5041E">
        <w:t xml:space="preserve">. See also Cranston et al </w:t>
      </w:r>
      <w:r w:rsidR="00F5041E" w:rsidRPr="00F5041E">
        <w:rPr>
          <w:i/>
        </w:rPr>
        <w:t>Principles of Banking Law</w:t>
      </w:r>
      <w:r w:rsidR="00F5041E" w:rsidRPr="00F5041E">
        <w:t xml:space="preserve"> (2017, Oxford University Press, Third Edition) pp 119 – 201</w:t>
      </w:r>
      <w:r w:rsidR="00F5041E">
        <w:t>.</w:t>
      </w:r>
    </w:p>
  </w:footnote>
  <w:footnote w:id="7">
    <w:p w14:paraId="34F9C3D3" w14:textId="77777777" w:rsidR="003C463E" w:rsidRDefault="003C463E" w:rsidP="003C463E">
      <w:pPr>
        <w:pStyle w:val="FootnoteText"/>
      </w:pPr>
      <w:r>
        <w:rPr>
          <w:rStyle w:val="FootnoteReference"/>
        </w:rPr>
        <w:footnoteRef/>
      </w:r>
      <w:r>
        <w:t xml:space="preserve"> </w:t>
      </w:r>
      <w:r w:rsidRPr="000815E5">
        <w:t>[2021] EWHC 10 (Comm)</w:t>
      </w:r>
      <w:r>
        <w:t>.</w:t>
      </w:r>
    </w:p>
  </w:footnote>
  <w:footnote w:id="8">
    <w:p w14:paraId="408643C6" w14:textId="77777777" w:rsidR="005C6D96" w:rsidRDefault="005C6D96" w:rsidP="005C6D96">
      <w:pPr>
        <w:pStyle w:val="FootnoteText"/>
      </w:pPr>
      <w:r>
        <w:rPr>
          <w:rStyle w:val="FootnoteReference"/>
        </w:rPr>
        <w:footnoteRef/>
      </w:r>
      <w:r>
        <w:t xml:space="preserve"> See </w:t>
      </w:r>
      <w:r w:rsidRPr="00DF0EA9">
        <w:t>UK Finance ‘Fraud The Facts 2021’ p 5</w:t>
      </w:r>
      <w:r>
        <w:t xml:space="preserve">, indicating that almost all </w:t>
      </w:r>
      <w:r w:rsidRPr="00DF0EA9">
        <w:t>scam</w:t>
      </w:r>
      <w:r>
        <w:t>s have</w:t>
      </w:r>
      <w:r w:rsidRPr="00DF0EA9">
        <w:t xml:space="preserve"> an online </w:t>
      </w:r>
      <w:r>
        <w:t>dimension.</w:t>
      </w:r>
    </w:p>
  </w:footnote>
  <w:footnote w:id="9">
    <w:p w14:paraId="411A06BC" w14:textId="4BB5EFEE" w:rsidR="00135B73" w:rsidRPr="004A4ADA" w:rsidRDefault="00135B73" w:rsidP="00135B73">
      <w:pPr>
        <w:pStyle w:val="FootnoteText"/>
      </w:pPr>
      <w:r>
        <w:rPr>
          <w:rStyle w:val="FootnoteReference"/>
        </w:rPr>
        <w:footnoteRef/>
      </w:r>
      <w:r>
        <w:t xml:space="preserve"> See, for example, </w:t>
      </w:r>
      <w:r>
        <w:rPr>
          <w:rFonts w:cs="Arial"/>
          <w:szCs w:val="24"/>
        </w:rPr>
        <w:t xml:space="preserve">Cranston et al </w:t>
      </w:r>
      <w:r>
        <w:rPr>
          <w:rFonts w:cs="Arial"/>
          <w:i/>
          <w:szCs w:val="24"/>
        </w:rPr>
        <w:t>Principles of Banking Law</w:t>
      </w:r>
      <w:r>
        <w:rPr>
          <w:rFonts w:cs="Arial"/>
          <w:szCs w:val="24"/>
        </w:rPr>
        <w:t xml:space="preserve"> (2017, Oxford University Press, Third Edition) pp 338 – 339.</w:t>
      </w:r>
    </w:p>
  </w:footnote>
  <w:footnote w:id="10">
    <w:p w14:paraId="7F6B1044" w14:textId="77777777" w:rsidR="0012366F" w:rsidRDefault="0012366F" w:rsidP="0012366F">
      <w:pPr>
        <w:pStyle w:val="FootnoteText"/>
      </w:pPr>
      <w:r>
        <w:rPr>
          <w:rStyle w:val="FootnoteReference"/>
        </w:rPr>
        <w:footnoteRef/>
      </w:r>
      <w:r>
        <w:t xml:space="preserve"> The paying and receiving banks may be the same entity. There may also be intermediary banks involved in accomplishing a payment but the straightforward example of two banks suffices for present purposes.</w:t>
      </w:r>
    </w:p>
  </w:footnote>
  <w:footnote w:id="11">
    <w:p w14:paraId="108CB176" w14:textId="6E3419E5" w:rsidR="0012366F" w:rsidRDefault="0012366F" w:rsidP="0012366F">
      <w:pPr>
        <w:pStyle w:val="FootnoteText"/>
      </w:pPr>
      <w:r>
        <w:rPr>
          <w:rStyle w:val="FootnoteReference"/>
        </w:rPr>
        <w:footnoteRef/>
      </w:r>
      <w:r>
        <w:t xml:space="preserve"> For an example, see </w:t>
      </w:r>
      <w:bookmarkStart w:id="7" w:name="_Hlk76826398"/>
      <w:r w:rsidRPr="002B7091">
        <w:rPr>
          <w:i/>
          <w:iCs/>
          <w:lang w:val="en-US"/>
        </w:rPr>
        <w:t>Tidal Energy Ltd v Bank of Scotland plc</w:t>
      </w:r>
      <w:r>
        <w:rPr>
          <w:i/>
          <w:iCs/>
          <w:lang w:val="en-US"/>
        </w:rPr>
        <w:t xml:space="preserve"> </w:t>
      </w:r>
      <w:r>
        <w:t>[2014] 2 Lloyd's Rep 549</w:t>
      </w:r>
      <w:r w:rsidR="002572EF">
        <w:t xml:space="preserve"> </w:t>
      </w:r>
      <w:bookmarkEnd w:id="7"/>
      <w:r w:rsidR="002572EF">
        <w:t xml:space="preserve">and </w:t>
      </w:r>
      <w:r w:rsidR="002572EF">
        <w:rPr>
          <w:i/>
          <w:iCs/>
        </w:rPr>
        <w:t>IFTS</w:t>
      </w:r>
      <w:r w:rsidR="00F837DD">
        <w:rPr>
          <w:i/>
          <w:iCs/>
        </w:rPr>
        <w:t>AL</w:t>
      </w:r>
      <w:r w:rsidR="002572EF">
        <w:rPr>
          <w:i/>
          <w:iCs/>
        </w:rPr>
        <w:t xml:space="preserve"> Offshore v Barclays Bank plc</w:t>
      </w:r>
      <w:r w:rsidR="002572EF">
        <w:t xml:space="preserve"> [2020] EWHC 3125 (Comm). </w:t>
      </w:r>
    </w:p>
  </w:footnote>
  <w:footnote w:id="12">
    <w:p w14:paraId="0080B711" w14:textId="53B3CE3F" w:rsidR="0012366F" w:rsidRDefault="0012366F" w:rsidP="0012366F">
      <w:pPr>
        <w:pStyle w:val="FootnoteText"/>
      </w:pPr>
      <w:r>
        <w:rPr>
          <w:rStyle w:val="FootnoteReference"/>
        </w:rPr>
        <w:footnoteRef/>
      </w:r>
      <w:r>
        <w:t xml:space="preserve"> </w:t>
      </w:r>
      <w:r w:rsidR="002572EF">
        <w:t>S</w:t>
      </w:r>
      <w:r w:rsidR="006C6E9D">
        <w:t xml:space="preserve">ee </w:t>
      </w:r>
      <w:r w:rsidR="006C6E9D">
        <w:rPr>
          <w:i/>
          <w:iCs/>
        </w:rPr>
        <w:t>Philipp</w:t>
      </w:r>
      <w:r w:rsidR="006C6E9D" w:rsidRPr="00814EFC">
        <w:t xml:space="preserve"> </w:t>
      </w:r>
      <w:r w:rsidR="006C6E9D" w:rsidRPr="00814EFC">
        <w:rPr>
          <w:i/>
          <w:iCs/>
        </w:rPr>
        <w:t xml:space="preserve">v Barclays Bank UK Plc </w:t>
      </w:r>
      <w:r w:rsidR="006C6E9D" w:rsidRPr="00101E87">
        <w:t>[2021] EWHC 10 (Comm</w:t>
      </w:r>
      <w:r w:rsidR="006C6E9D">
        <w:t xml:space="preserve">) and Financial Ombudsman Service, “Decision Reference DRN-2771561” (22 April 2021), available at: </w:t>
      </w:r>
      <w:r w:rsidR="006C6E9D">
        <w:t>&lt;</w:t>
      </w:r>
      <w:r w:rsidR="006C6E9D" w:rsidRPr="00AC7566">
        <w:t>https://www.financial-ombudsman.org.uk/files/304850/DRN-2771561.pdf</w:t>
      </w:r>
      <w:bookmarkStart w:id="8" w:name="_Hlk76820322"/>
      <w:r w:rsidR="006C6E9D">
        <w:t xml:space="preserve">&gt;. </w:t>
      </w:r>
    </w:p>
    <w:bookmarkEnd w:id="8"/>
  </w:footnote>
  <w:footnote w:id="13">
    <w:p w14:paraId="3178AACC" w14:textId="028F2F1B" w:rsidR="002572EF" w:rsidRDefault="002572EF">
      <w:pPr>
        <w:pStyle w:val="FootnoteText"/>
      </w:pPr>
      <w:r>
        <w:rPr>
          <w:rStyle w:val="FootnoteReference"/>
        </w:rPr>
        <w:footnoteRef/>
      </w:r>
      <w:r>
        <w:t xml:space="preserve"> </w:t>
      </w:r>
      <w:r>
        <w:t xml:space="preserve">UK Finance, ‘Fraud – The Facts 2021’ (2021), p4, available at: </w:t>
      </w:r>
      <w:r>
        <w:t>&lt;</w:t>
      </w:r>
      <w:r w:rsidRPr="00876EC5">
        <w:t>https://www.ukfinance.org.uk/system/files/Fraud%20The%20Facts%202021-%20FINAL.pdf</w:t>
      </w:r>
      <w:r>
        <w:t>&gt;.</w:t>
      </w:r>
    </w:p>
  </w:footnote>
  <w:footnote w:id="14">
    <w:p w14:paraId="5AE9B8AB" w14:textId="29D45322" w:rsidR="0012366F" w:rsidRDefault="0012366F" w:rsidP="0012366F">
      <w:pPr>
        <w:pStyle w:val="FootnoteText"/>
      </w:pPr>
      <w:r>
        <w:rPr>
          <w:rStyle w:val="FootnoteReference"/>
        </w:rPr>
        <w:footnoteRef/>
      </w:r>
      <w:r>
        <w:t xml:space="preserve"> </w:t>
      </w:r>
      <w:r w:rsidR="002572EF">
        <w:t>ACCC, ‘Targeting scams: Report of the ACCC on scams activity 2020’ June 2021, p</w:t>
      </w:r>
      <w:r w:rsidR="002572EF">
        <w:t>p</w:t>
      </w:r>
      <w:r w:rsidR="002572EF">
        <w:t xml:space="preserve"> 11-12.</w:t>
      </w:r>
    </w:p>
  </w:footnote>
  <w:footnote w:id="15">
    <w:p w14:paraId="535E50C3" w14:textId="7138F1AF" w:rsidR="0012366F" w:rsidRDefault="0012366F" w:rsidP="0012366F">
      <w:pPr>
        <w:pStyle w:val="FootnoteText"/>
      </w:pPr>
      <w:r>
        <w:rPr>
          <w:rStyle w:val="FootnoteReference"/>
        </w:rPr>
        <w:footnoteRef/>
      </w:r>
      <w:r>
        <w:t xml:space="preserve"> </w:t>
      </w:r>
      <w:r w:rsidR="002572EF">
        <w:t>S</w:t>
      </w:r>
      <w:r w:rsidR="002572EF">
        <w:t xml:space="preserve">ee Jalelah Abu Baker, ‘More than S$201 Million Cheated in Top 10 Scam Types Last Year: Police’ </w:t>
      </w:r>
      <w:r w:rsidR="002572EF">
        <w:rPr>
          <w:i/>
          <w:iCs/>
        </w:rPr>
        <w:t>Channel News Asia</w:t>
      </w:r>
      <w:r w:rsidR="002572EF">
        <w:t xml:space="preserve"> (9 February 2021), available at: </w:t>
      </w:r>
      <w:r w:rsidR="002572EF" w:rsidRPr="00250E6F">
        <w:t>https://www.channelnewsasia.com/news/singapore/more-than-201-million-cheated-top-10-scam-types-2020-police-14145720</w:t>
      </w:r>
      <w:r w:rsidR="002572EF">
        <w:t>.</w:t>
      </w:r>
    </w:p>
  </w:footnote>
  <w:footnote w:id="16">
    <w:p w14:paraId="644D1E1B" w14:textId="76182E30" w:rsidR="0012366F" w:rsidRDefault="0012366F" w:rsidP="0012366F">
      <w:pPr>
        <w:pStyle w:val="FootnoteText"/>
      </w:pPr>
      <w:r>
        <w:rPr>
          <w:rStyle w:val="FootnoteReference"/>
        </w:rPr>
        <w:footnoteRef/>
      </w:r>
      <w:r>
        <w:t xml:space="preserve"> </w:t>
      </w:r>
      <w:r w:rsidR="00B353B9">
        <w:t xml:space="preserve">See ACCC, “Targeting Scams 2019: A Review of Scam Activity Since 2009” (June 2020), p i, available at: </w:t>
      </w:r>
      <w:r w:rsidR="000D4BE4">
        <w:t>&lt;</w:t>
      </w:r>
      <w:r w:rsidR="00B353B9" w:rsidRPr="0046359B">
        <w:t>https://www.accc.gov.au/system/files/1657RPT_Targeting%20scams%202019_FA.pdf</w:t>
      </w:r>
      <w:r w:rsidR="000D4BE4">
        <w:t>&gt;</w:t>
      </w:r>
      <w:r w:rsidR="00B353B9">
        <w:t xml:space="preserve">; National Crime Agency (UK), “The Threat from Fraud” available at: </w:t>
      </w:r>
      <w:r w:rsidR="00B353B9" w:rsidRPr="00CA711A">
        <w:t>https://www.nationalcrimeagency.gov.uk/what-we-do/crime-threats/fraud-and-economic-crime</w:t>
      </w:r>
      <w:r w:rsidR="00B353B9">
        <w:t>.</w:t>
      </w:r>
    </w:p>
  </w:footnote>
  <w:footnote w:id="17">
    <w:p w14:paraId="7D88E6C5" w14:textId="19F60CA1" w:rsidR="0012366F" w:rsidRDefault="0012366F" w:rsidP="0012366F">
      <w:pPr>
        <w:pStyle w:val="FootnoteText"/>
      </w:pPr>
      <w:r>
        <w:rPr>
          <w:rStyle w:val="FootnoteReference"/>
        </w:rPr>
        <w:footnoteRef/>
      </w:r>
      <w:r>
        <w:t xml:space="preserve"> </w:t>
      </w:r>
      <w:r w:rsidRPr="001D0BE8">
        <w:t>In such cases, the loss falls on the bank at common law unless the customer has breached a duty it owes to the bank.</w:t>
      </w:r>
      <w:r>
        <w:t xml:space="preserve"> </w:t>
      </w:r>
      <w:r w:rsidRPr="00A4398B">
        <w:t>See</w:t>
      </w:r>
      <w:r w:rsidR="000D4BE4">
        <w:t xml:space="preserve"> </w:t>
      </w:r>
      <w:r w:rsidR="000D4BE4">
        <w:rPr>
          <w:rFonts w:cs="Arial"/>
          <w:szCs w:val="24"/>
        </w:rPr>
        <w:t xml:space="preserve">Cranston et al </w:t>
      </w:r>
      <w:r w:rsidR="000D4BE4">
        <w:rPr>
          <w:rFonts w:cs="Arial"/>
          <w:i/>
          <w:szCs w:val="24"/>
        </w:rPr>
        <w:t>Principles of Banking Law</w:t>
      </w:r>
      <w:r w:rsidR="000D4BE4">
        <w:rPr>
          <w:rFonts w:cs="Arial"/>
          <w:szCs w:val="24"/>
        </w:rPr>
        <w:t xml:space="preserve"> (2017, Oxford University Press, Third Edition) p 201;</w:t>
      </w:r>
      <w:r w:rsidR="000D4BE4">
        <w:rPr>
          <w:rFonts w:cs="Arial"/>
          <w:szCs w:val="24"/>
        </w:rPr>
        <w:t xml:space="preserve"> also</w:t>
      </w:r>
      <w:r w:rsidRPr="00A4398B">
        <w:t xml:space="preserve"> </w:t>
      </w:r>
      <w:r w:rsidR="00E6092A">
        <w:t xml:space="preserve">Sandra </w:t>
      </w:r>
      <w:r w:rsidRPr="00A4398B">
        <w:t xml:space="preserve">Booysen </w:t>
      </w:r>
      <w:r w:rsidR="00E6092A">
        <w:t>‘Tackling p</w:t>
      </w:r>
      <w:r w:rsidRPr="00A4398B">
        <w:t>ayment</w:t>
      </w:r>
      <w:r w:rsidR="00E6092A">
        <w:t xml:space="preserve"> scams: a Comparative review’</w:t>
      </w:r>
      <w:r w:rsidRPr="00A4398B">
        <w:t xml:space="preserve"> </w:t>
      </w:r>
      <w:r w:rsidR="00E6092A">
        <w:t xml:space="preserve">(2019) </w:t>
      </w:r>
      <w:r w:rsidRPr="00A4398B">
        <w:t>A</w:t>
      </w:r>
      <w:r w:rsidR="00E6092A">
        <w:t xml:space="preserve">nnual </w:t>
      </w:r>
      <w:r w:rsidRPr="00A4398B">
        <w:t>B</w:t>
      </w:r>
      <w:r w:rsidR="00E6092A">
        <w:t xml:space="preserve">anking </w:t>
      </w:r>
      <w:r w:rsidRPr="00A4398B">
        <w:t>L</w:t>
      </w:r>
      <w:r w:rsidR="00E6092A">
        <w:t xml:space="preserve">aw </w:t>
      </w:r>
      <w:r w:rsidRPr="00A4398B">
        <w:t>U</w:t>
      </w:r>
      <w:r w:rsidR="00E6092A">
        <w:t>pdate 1</w:t>
      </w:r>
      <w:r w:rsidRPr="00A4398B">
        <w:t xml:space="preserve"> p</w:t>
      </w:r>
      <w:r>
        <w:t>p</w:t>
      </w:r>
      <w:r w:rsidRPr="00A4398B">
        <w:t xml:space="preserve"> </w:t>
      </w:r>
      <w:r w:rsidR="00E6092A">
        <w:t>4-9</w:t>
      </w:r>
      <w:r w:rsidRPr="00A4398B">
        <w:t>.</w:t>
      </w:r>
    </w:p>
  </w:footnote>
  <w:footnote w:id="18">
    <w:p w14:paraId="1472A5F5" w14:textId="77777777" w:rsidR="00F353D2" w:rsidRPr="007B79D3" w:rsidRDefault="00F353D2" w:rsidP="00F353D2">
      <w:pPr>
        <w:pStyle w:val="FootnoteText"/>
        <w:rPr>
          <w:lang w:val="en-US"/>
        </w:rPr>
      </w:pPr>
      <w:r>
        <w:rPr>
          <w:rStyle w:val="FootnoteReference"/>
        </w:rPr>
        <w:footnoteRef/>
      </w:r>
      <w:r>
        <w:t xml:space="preserve"> </w:t>
      </w:r>
      <w:hyperlink r:id="rId1" w:history="1">
        <w:r w:rsidRPr="00CB49C5">
          <w:rPr>
            <w:rStyle w:val="Hyperlink"/>
          </w:rPr>
          <w:t>https://www.ukfinance.org.uk/system/files/Fraud%20The%20Facts%202021-%20FINAL.pdf</w:t>
        </w:r>
      </w:hyperlink>
      <w:r w:rsidRPr="00CB49C5">
        <w:t xml:space="preserve"> (p 4-5), also p11.</w:t>
      </w:r>
      <w:r>
        <w:t xml:space="preserve">See also </w:t>
      </w:r>
      <w:r w:rsidRPr="006855D2">
        <w:rPr>
          <w:rFonts w:eastAsia="Times New Roman" w:cs="Times New Roman"/>
          <w:lang w:val="en-US" w:eastAsia="ar-SA"/>
        </w:rPr>
        <w:t>Which? super-complaint ‘Consumer safeguards in the market for push payments’ 23 September 2016</w:t>
      </w:r>
      <w:r>
        <w:rPr>
          <w:rFonts w:eastAsia="Times New Roman" w:cs="Times New Roman"/>
          <w:lang w:val="en-US" w:eastAsia="ar-SA"/>
        </w:rPr>
        <w:t xml:space="preserve">, pp 8-9, available at </w:t>
      </w:r>
      <w:hyperlink r:id="rId2">
        <w:r w:rsidRPr="3B650F03">
          <w:rPr>
            <w:rStyle w:val="Hyperlink"/>
            <w:lang w:val="en-US"/>
          </w:rPr>
          <w:t>https://www.psr.org.uk/sites/default/files/media/PDF/which-super-complaint-sep-2016.pdf</w:t>
        </w:r>
      </w:hyperlink>
      <w:r>
        <w:t>.</w:t>
      </w:r>
    </w:p>
  </w:footnote>
  <w:footnote w:id="19">
    <w:p w14:paraId="36105547" w14:textId="4C4F920C" w:rsidR="00F3784D" w:rsidRDefault="00F3784D">
      <w:pPr>
        <w:pStyle w:val="FootnoteText"/>
      </w:pPr>
      <w:r>
        <w:rPr>
          <w:rStyle w:val="FootnoteReference"/>
        </w:rPr>
        <w:footnoteRef/>
      </w:r>
      <w:r>
        <w:t xml:space="preserve"> See </w:t>
      </w:r>
      <w:r w:rsidR="00536DC8">
        <w:t>in Singapore, DBS Bank ‘</w:t>
      </w:r>
      <w:r w:rsidR="00536DC8" w:rsidRPr="00536DC8">
        <w:t>Terms &amp; Conditions Governing Electronic Services</w:t>
      </w:r>
      <w:r w:rsidR="00536DC8">
        <w:t>’ cls 5.3, 5.7</w:t>
      </w:r>
      <w:r w:rsidR="00235CCC">
        <w:t xml:space="preserve"> available at: </w:t>
      </w:r>
      <w:hyperlink r:id="rId3" w:history="1">
        <w:r w:rsidR="00235CCC" w:rsidRPr="00ED37D8">
          <w:rPr>
            <w:rStyle w:val="Hyperlink"/>
          </w:rPr>
          <w:t>https://www.dbs.com.sg/personal/deposits/terms-conditions-electronic-services.page?pid=sg-dbs-pweb-footer-default-term-conditions-governing-electronic-services-textlink#</w:t>
        </w:r>
      </w:hyperlink>
      <w:r w:rsidR="00235CCC">
        <w:t>.</w:t>
      </w:r>
    </w:p>
  </w:footnote>
  <w:footnote w:id="20">
    <w:p w14:paraId="09CAE378" w14:textId="77777777" w:rsidR="003A7A78" w:rsidRDefault="003A7A78" w:rsidP="003A7A78">
      <w:pPr>
        <w:pStyle w:val="FootnoteText"/>
      </w:pPr>
      <w:r>
        <w:rPr>
          <w:rStyle w:val="FootnoteReference"/>
        </w:rPr>
        <w:footnoteRef/>
      </w:r>
      <w:r>
        <w:t xml:space="preserve"> </w:t>
      </w:r>
      <w:r w:rsidRPr="00BD19D9">
        <w:t xml:space="preserve">Contingent Reimbursement Model Code for Authorised Push Payment Scams, </w:t>
      </w:r>
      <w:r>
        <w:t xml:space="preserve">effective </w:t>
      </w:r>
      <w:r w:rsidRPr="00BD19D9">
        <w:t>28 May 2019</w:t>
      </w:r>
      <w:r>
        <w:t xml:space="preserve">. The UK’s Code followed concern raised </w:t>
      </w:r>
      <w:r w:rsidRPr="00957CCC">
        <w:rPr>
          <w:lang w:val="en-SG"/>
        </w:rPr>
        <w:t>by the consumer organization, ‘Which?’ in 2016</w:t>
      </w:r>
      <w:r>
        <w:rPr>
          <w:lang w:val="en-SG"/>
        </w:rPr>
        <w:t xml:space="preserve">, see </w:t>
      </w:r>
      <w:r w:rsidRPr="006855D2">
        <w:rPr>
          <w:rFonts w:eastAsia="Times New Roman" w:cs="Times New Roman"/>
          <w:lang w:val="en-US" w:eastAsia="ar-SA"/>
        </w:rPr>
        <w:t>Which? super-complaint ‘Consumer safeguards in the market for push payments’ 23 September 2016</w:t>
      </w:r>
      <w:r>
        <w:rPr>
          <w:rFonts w:eastAsia="Times New Roman" w:cs="Times New Roman"/>
          <w:lang w:val="en-US" w:eastAsia="ar-SA"/>
        </w:rPr>
        <w:t xml:space="preserve">, available at </w:t>
      </w:r>
      <w:hyperlink r:id="rId4">
        <w:r w:rsidRPr="3B650F03">
          <w:rPr>
            <w:rStyle w:val="Hyperlink"/>
            <w:lang w:val="en-US"/>
          </w:rPr>
          <w:t>https://www.psr.org.uk/sites/default/files/media/PDF/which-super-complaint-sep-2016.pdf</w:t>
        </w:r>
      </w:hyperlink>
      <w:r>
        <w:t xml:space="preserve">. The ‘Which?’ complaint was addressed in particular at authorised </w:t>
      </w:r>
      <w:r w:rsidRPr="00587E6C">
        <w:rPr>
          <w:i/>
          <w:iCs/>
        </w:rPr>
        <w:t>push</w:t>
      </w:r>
      <w:r w:rsidRPr="00C614C1">
        <w:t xml:space="preserve"> </w:t>
      </w:r>
      <w:r>
        <w:t xml:space="preserve">payment scams. Push payments are payments in which the payer communicates </w:t>
      </w:r>
      <w:r w:rsidRPr="004A4ADA">
        <w:t>the payment in</w:t>
      </w:r>
      <w:r>
        <w:t>struction to her/his bank, as opposed to furnishing the payment instruction to the payee. The latter is a pull payment, and the cheque is an example.</w:t>
      </w:r>
    </w:p>
  </w:footnote>
  <w:footnote w:id="21">
    <w:p w14:paraId="47853B93" w14:textId="5EB11BDF" w:rsidR="003A7A78" w:rsidRPr="00343AAF" w:rsidRDefault="003A7A78" w:rsidP="003A7A78">
      <w:pPr>
        <w:pStyle w:val="FootnoteText"/>
        <w:rPr>
          <w:lang w:val="en-US"/>
        </w:rPr>
      </w:pPr>
      <w:r>
        <w:rPr>
          <w:rStyle w:val="FootnoteReference"/>
        </w:rPr>
        <w:footnoteRef/>
      </w:r>
      <w:r>
        <w:t xml:space="preserve"> </w:t>
      </w:r>
      <w:r w:rsidRPr="00BD3842">
        <w:rPr>
          <w:lang w:val="en-SG"/>
        </w:rPr>
        <w:t>Australian Securities and Investments Commission</w:t>
      </w:r>
      <w:r>
        <w:rPr>
          <w:lang w:val="en-SG"/>
        </w:rPr>
        <w:t xml:space="preserve"> </w:t>
      </w:r>
      <w:r w:rsidR="00235CCC">
        <w:rPr>
          <w:lang w:val="en-SG"/>
        </w:rPr>
        <w:t>‘</w:t>
      </w:r>
      <w:r w:rsidRPr="00BD3842">
        <w:rPr>
          <w:lang w:val="en-SG"/>
        </w:rPr>
        <w:t>ePayments Code</w:t>
      </w:r>
      <w:r w:rsidR="00235CCC">
        <w:rPr>
          <w:lang w:val="en-SG"/>
        </w:rPr>
        <w:t>’</w:t>
      </w:r>
      <w:r w:rsidRPr="00235CCC">
        <w:rPr>
          <w:lang w:val="en-SG"/>
        </w:rPr>
        <w:t>, effective 29 March 2016. The</w:t>
      </w:r>
      <w:r>
        <w:rPr>
          <w:lang w:val="en-SG"/>
        </w:rPr>
        <w:t xml:space="preserve"> ePayments Code is the successor of </w:t>
      </w:r>
      <w:r w:rsidRPr="00FB7CA6">
        <w:rPr>
          <w:lang w:val="en-SG"/>
        </w:rPr>
        <w:t>the Electronic Funds Transfer Code of Conduct</w:t>
      </w:r>
      <w:r>
        <w:rPr>
          <w:lang w:val="en-SG"/>
        </w:rPr>
        <w:t xml:space="preserve"> which dates back to 1986.</w:t>
      </w:r>
    </w:p>
  </w:footnote>
  <w:footnote w:id="22">
    <w:p w14:paraId="5D4B4D18" w14:textId="030EEBCC" w:rsidR="003A7A78" w:rsidRPr="00546E1A" w:rsidRDefault="003A7A78" w:rsidP="003A7A78">
      <w:pPr>
        <w:pStyle w:val="FootnoteText"/>
        <w:rPr>
          <w:lang w:val="en-US"/>
        </w:rPr>
      </w:pPr>
      <w:r>
        <w:rPr>
          <w:rStyle w:val="FootnoteReference"/>
        </w:rPr>
        <w:footnoteRef/>
      </w:r>
      <w:r>
        <w:t xml:space="preserve"> </w:t>
      </w:r>
      <w:r w:rsidRPr="00546E1A">
        <w:t>M</w:t>
      </w:r>
      <w:r>
        <w:t xml:space="preserve">onetary Authority of </w:t>
      </w:r>
      <w:r w:rsidRPr="00546E1A">
        <w:t>S</w:t>
      </w:r>
      <w:r>
        <w:t>ingapore “</w:t>
      </w:r>
      <w:r w:rsidRPr="00546E1A">
        <w:t>E-Payments User Protection Guidelines“</w:t>
      </w:r>
      <w:r>
        <w:t>, effective</w:t>
      </w:r>
      <w:r w:rsidR="00235CCC">
        <w:t xml:space="preserve"> </w:t>
      </w:r>
      <w:r w:rsidR="00235CCC">
        <w:t>30 June 2019 (amended on 5 September 2020)</w:t>
      </w:r>
      <w:r w:rsidRPr="00BD3842">
        <w:t>.</w:t>
      </w:r>
    </w:p>
  </w:footnote>
  <w:footnote w:id="23">
    <w:p w14:paraId="7A1F5559" w14:textId="3245D573" w:rsidR="00C03C47" w:rsidRDefault="00C03C47" w:rsidP="00C03C47">
      <w:pPr>
        <w:pStyle w:val="FootnoteText"/>
      </w:pPr>
      <w:r>
        <w:rPr>
          <w:rStyle w:val="FootnoteReference"/>
        </w:rPr>
        <w:footnoteRef/>
      </w:r>
      <w:r>
        <w:t xml:space="preserve"> Discussed in more detail in </w:t>
      </w:r>
      <w:bookmarkStart w:id="9" w:name="_Hlk74129266"/>
      <w:r w:rsidR="00E6092A">
        <w:t xml:space="preserve">Sandra </w:t>
      </w:r>
      <w:r w:rsidR="00E6092A" w:rsidRPr="00A4398B">
        <w:t xml:space="preserve">Booysen </w:t>
      </w:r>
      <w:r w:rsidR="00E6092A">
        <w:t>‘Tackling p</w:t>
      </w:r>
      <w:r w:rsidR="00E6092A" w:rsidRPr="00A4398B">
        <w:t>ayment</w:t>
      </w:r>
      <w:r w:rsidR="00E6092A">
        <w:t xml:space="preserve"> scams: a Comparative review’</w:t>
      </w:r>
      <w:r w:rsidR="00E6092A" w:rsidRPr="00A4398B">
        <w:t xml:space="preserve"> </w:t>
      </w:r>
      <w:r w:rsidR="00E6092A">
        <w:t xml:space="preserve">(2019) </w:t>
      </w:r>
      <w:r w:rsidR="00E6092A" w:rsidRPr="00A4398B">
        <w:t>A</w:t>
      </w:r>
      <w:r w:rsidR="00E6092A">
        <w:t xml:space="preserve">nnual </w:t>
      </w:r>
      <w:r w:rsidR="00E6092A" w:rsidRPr="00A4398B">
        <w:t>B</w:t>
      </w:r>
      <w:r w:rsidR="00E6092A">
        <w:t xml:space="preserve">anking </w:t>
      </w:r>
      <w:r w:rsidR="00E6092A" w:rsidRPr="00A4398B">
        <w:t>L</w:t>
      </w:r>
      <w:r w:rsidR="00E6092A">
        <w:t xml:space="preserve">aw </w:t>
      </w:r>
      <w:r w:rsidR="00E6092A" w:rsidRPr="00A4398B">
        <w:t>U</w:t>
      </w:r>
      <w:r w:rsidR="00E6092A">
        <w:t>pdate 1</w:t>
      </w:r>
      <w:r w:rsidR="00E6092A" w:rsidRPr="00A4398B">
        <w:t xml:space="preserve"> p</w:t>
      </w:r>
      <w:r w:rsidR="00E6092A">
        <w:t>p</w:t>
      </w:r>
      <w:r w:rsidR="00E6092A" w:rsidRPr="00A4398B">
        <w:t xml:space="preserve"> </w:t>
      </w:r>
      <w:r w:rsidR="00E6092A">
        <w:t>11-18</w:t>
      </w:r>
      <w:r>
        <w:t>.</w:t>
      </w:r>
    </w:p>
    <w:bookmarkEnd w:id="9"/>
  </w:footnote>
  <w:footnote w:id="24">
    <w:p w14:paraId="30252230" w14:textId="67DA3E10" w:rsidR="00A26D89" w:rsidRDefault="00A26D89">
      <w:pPr>
        <w:pStyle w:val="FootnoteText"/>
      </w:pPr>
      <w:r>
        <w:rPr>
          <w:rStyle w:val="FootnoteReference"/>
        </w:rPr>
        <w:footnoteRef/>
      </w:r>
      <w:r>
        <w:t xml:space="preserve"> The UK’s c</w:t>
      </w:r>
      <w:r w:rsidRPr="00A26D89">
        <w:t>onfirmation of payee</w:t>
      </w:r>
      <w:r>
        <w:t xml:space="preserve"> measures are </w:t>
      </w:r>
      <w:r w:rsidR="00DD65D1">
        <w:t xml:space="preserve">mandatory for certain providers of offering the </w:t>
      </w:r>
      <w:r w:rsidR="00DD65D1" w:rsidRPr="00DD65D1">
        <w:rPr>
          <w:lang w:val="en-US"/>
        </w:rPr>
        <w:t>the Clearing House Automated Payment System (CHAPS) and Faster Payments Service (FPS)</w:t>
      </w:r>
      <w:r w:rsidR="00DD65D1">
        <w:rPr>
          <w:lang w:val="en-US"/>
        </w:rPr>
        <w:t xml:space="preserve">, </w:t>
      </w:r>
      <w:r w:rsidR="00C03C47" w:rsidRPr="00C03C47">
        <w:rPr>
          <w:lang w:val="en-US"/>
        </w:rPr>
        <w:t xml:space="preserve">have had the </w:t>
      </w:r>
      <w:r w:rsidR="00C03C47">
        <w:rPr>
          <w:lang w:val="en-US"/>
        </w:rPr>
        <w:t>highest</w:t>
      </w:r>
      <w:r w:rsidR="00C03C47" w:rsidRPr="00C03C47">
        <w:rPr>
          <w:lang w:val="en-US"/>
        </w:rPr>
        <w:t xml:space="preserve"> APP scams by value</w:t>
      </w:r>
      <w:r w:rsidR="00C03C47">
        <w:rPr>
          <w:lang w:val="en-US"/>
        </w:rPr>
        <w:t xml:space="preserve">, see </w:t>
      </w:r>
      <w:r w:rsidR="00C03C47" w:rsidRPr="00C03C47">
        <w:rPr>
          <w:lang w:val="en-US"/>
        </w:rPr>
        <w:t>Payment Systems Regulator ”Confirmation of Payee: Response to the first consultation and draft specific direction for further consultation“ May 2019</w:t>
      </w:r>
      <w:r w:rsidR="00C03C47">
        <w:rPr>
          <w:lang w:val="en-US"/>
        </w:rPr>
        <w:t xml:space="preserve">, </w:t>
      </w:r>
      <w:r w:rsidR="00C03C47" w:rsidRPr="00C03C47">
        <w:rPr>
          <w:lang w:val="en-US"/>
        </w:rPr>
        <w:t xml:space="preserve">CP 19/4 </w:t>
      </w:r>
      <w:r w:rsidR="00C03C47">
        <w:rPr>
          <w:lang w:val="en-US"/>
        </w:rPr>
        <w:t xml:space="preserve">paras </w:t>
      </w:r>
      <w:r w:rsidR="00C03C47" w:rsidRPr="00C03C47">
        <w:rPr>
          <w:lang w:val="en-US"/>
        </w:rPr>
        <w:t>2.54 – 2.56. 3.5.</w:t>
      </w:r>
    </w:p>
  </w:footnote>
  <w:footnote w:id="25">
    <w:p w14:paraId="5C7FE182" w14:textId="75175B7B" w:rsidR="00B0550F" w:rsidRDefault="00B0550F">
      <w:pPr>
        <w:pStyle w:val="FootnoteText"/>
      </w:pPr>
      <w:r>
        <w:rPr>
          <w:rStyle w:val="FootnoteReference"/>
        </w:rPr>
        <w:footnoteRef/>
      </w:r>
      <w:r>
        <w:t xml:space="preserve"> The cause of action for such recovery would typically be unjust enrichment, see </w:t>
      </w:r>
      <w:r>
        <w:rPr>
          <w:i/>
        </w:rPr>
        <w:t xml:space="preserve">Kelly v Solari </w:t>
      </w:r>
      <w:r>
        <w:t xml:space="preserve">(1841) 9 M&amp;W 54; </w:t>
      </w:r>
      <w:r w:rsidRPr="00FD6524">
        <w:rPr>
          <w:i/>
        </w:rPr>
        <w:t xml:space="preserve">Barclays Bank Ltd v W J Simms Son &amp; Cook (Southern) Limited </w:t>
      </w:r>
      <w:r>
        <w:t xml:space="preserve">[1980] 1 QB 677; </w:t>
      </w:r>
      <w:r w:rsidRPr="00FD6524">
        <w:rPr>
          <w:i/>
        </w:rPr>
        <w:t xml:space="preserve">Kleinwort Benson Limited v Lincoln City Council </w:t>
      </w:r>
      <w:r>
        <w:t>[1999] 2 AC 349.</w:t>
      </w:r>
    </w:p>
  </w:footnote>
  <w:footnote w:id="26">
    <w:p w14:paraId="6767D135" w14:textId="26741454" w:rsidR="00B0550F" w:rsidRPr="00572AE6" w:rsidRDefault="00B0550F" w:rsidP="00B0550F">
      <w:pPr>
        <w:pStyle w:val="FootnoteText"/>
        <w:rPr>
          <w:lang w:val="en-US"/>
        </w:rPr>
      </w:pPr>
      <w:r>
        <w:rPr>
          <w:rStyle w:val="FootnoteReference"/>
        </w:rPr>
        <w:footnoteRef/>
      </w:r>
      <w:r>
        <w:t xml:space="preserve"> </w:t>
      </w:r>
      <w:r w:rsidR="002943B0">
        <w:t>See the unfortunate outcome in</w:t>
      </w:r>
      <w:r w:rsidR="0049244E" w:rsidRPr="0049244E">
        <w:rPr>
          <w:i/>
          <w:iCs/>
          <w:lang w:val="en-US"/>
        </w:rPr>
        <w:t xml:space="preserve"> </w:t>
      </w:r>
      <w:r w:rsidR="0049244E" w:rsidRPr="002B7091">
        <w:rPr>
          <w:i/>
          <w:iCs/>
          <w:lang w:val="en-US"/>
        </w:rPr>
        <w:t>Tidal Energy Ltd v Bank of Scotland plc</w:t>
      </w:r>
      <w:r w:rsidR="0049244E">
        <w:rPr>
          <w:i/>
          <w:iCs/>
          <w:lang w:val="en-US"/>
        </w:rPr>
        <w:t xml:space="preserve"> </w:t>
      </w:r>
      <w:r w:rsidR="0049244E">
        <w:t>[2014] 2 Lloyd's Rep 549</w:t>
      </w:r>
      <w:r w:rsidR="002943B0">
        <w:t xml:space="preserve"> where the </w:t>
      </w:r>
      <w:r w:rsidR="0049244E">
        <w:t>r</w:t>
      </w:r>
      <w:r w:rsidR="002943B0">
        <w:t xml:space="preserve">eceiving bank required an injunction before they would prevent withdrawal of the monies. </w:t>
      </w:r>
      <w:r w:rsidR="002943B0" w:rsidRPr="002943B0">
        <w:rPr>
          <w:lang w:val="en-SG"/>
        </w:rPr>
        <w:t xml:space="preserve">Australia’s code is particularly robust when the </w:t>
      </w:r>
      <w:r w:rsidR="002943B0" w:rsidRPr="002943B0">
        <w:rPr>
          <w:lang w:val="en-US"/>
        </w:rPr>
        <w:t>receiving bank is satisfied that the payment was made in error:</w:t>
      </w:r>
      <w:r w:rsidR="002943B0">
        <w:rPr>
          <w:lang w:val="en-US"/>
        </w:rPr>
        <w:t xml:space="preserve"> </w:t>
      </w:r>
      <w:r w:rsidR="002943B0" w:rsidRPr="002943B0">
        <w:rPr>
          <w:lang w:val="en-US"/>
        </w:rPr>
        <w:t>if the alert is raised within ten business days of the payment and the money is still in the recipient’s account, the receiving bank</w:t>
      </w:r>
      <w:r w:rsidR="002943B0" w:rsidRPr="002943B0">
        <w:rPr>
          <w:lang w:val="en-SG"/>
        </w:rPr>
        <w:t xml:space="preserve"> must return the </w:t>
      </w:r>
      <w:r w:rsidR="002943B0" w:rsidRPr="002943B0">
        <w:rPr>
          <w:lang w:val="en-US"/>
        </w:rPr>
        <w:t>monies to the paying bank; if the alert comes within seven-months, the receiving bank must freeze the funds and give the recipient ten business days to prove their entitlement to the monies, failing which it must be returned</w:t>
      </w:r>
      <w:r w:rsidR="002943B0">
        <w:rPr>
          <w:lang w:val="en-US"/>
        </w:rPr>
        <w:t>, see</w:t>
      </w:r>
      <w:r w:rsidR="002943B0" w:rsidRPr="002943B0">
        <w:t xml:space="preserve"> </w:t>
      </w:r>
      <w:r w:rsidR="002943B0" w:rsidRPr="00AE5090">
        <w:t>ASIC ”</w:t>
      </w:r>
      <w:r w:rsidR="002943B0">
        <w:t>ePayments Code” paras 28 - 30.</w:t>
      </w:r>
    </w:p>
  </w:footnote>
  <w:footnote w:id="27">
    <w:p w14:paraId="075FE727" w14:textId="04031666" w:rsidR="00A26D89" w:rsidRPr="00A26D89" w:rsidRDefault="00A26D89">
      <w:pPr>
        <w:pStyle w:val="FootnoteText"/>
        <w:rPr>
          <w:lang w:val="en-US"/>
        </w:rPr>
      </w:pPr>
      <w:r>
        <w:rPr>
          <w:rStyle w:val="FootnoteReference"/>
        </w:rPr>
        <w:footnoteRef/>
      </w:r>
      <w:r>
        <w:t xml:space="preserve"> CRM Code 8, R1 – R2.</w:t>
      </w:r>
    </w:p>
  </w:footnote>
  <w:footnote w:id="28">
    <w:p w14:paraId="2A2F06CA" w14:textId="6A82AA4E" w:rsidR="00E255E1" w:rsidRDefault="00E255E1" w:rsidP="00E255E1">
      <w:pPr>
        <w:pStyle w:val="FootnoteText"/>
      </w:pPr>
      <w:r>
        <w:rPr>
          <w:rStyle w:val="FootnoteReference"/>
        </w:rPr>
        <w:footnoteRef/>
      </w:r>
      <w:r>
        <w:t xml:space="preserve"> </w:t>
      </w:r>
      <w:r w:rsidRPr="00E255E1">
        <w:t>The courts have recognised that duties of care can exist alongside each other in tort and contract</w:t>
      </w:r>
      <w:r>
        <w:t xml:space="preserve">, see </w:t>
      </w:r>
      <w:r w:rsidRPr="0049244E">
        <w:rPr>
          <w:i/>
          <w:iCs/>
        </w:rPr>
        <w:t>Henderson v Merrett</w:t>
      </w:r>
      <w:r>
        <w:t xml:space="preserve"> </w:t>
      </w:r>
      <w:r w:rsidR="0049244E">
        <w:rPr>
          <w:i/>
          <w:iCs/>
        </w:rPr>
        <w:t xml:space="preserve">Syndicates Ltd </w:t>
      </w:r>
      <w:r w:rsidR="0049244E">
        <w:t>[1995] 2 AC 145 at 194</w:t>
      </w:r>
      <w:r>
        <w:t>.</w:t>
      </w:r>
    </w:p>
  </w:footnote>
  <w:footnote w:id="29">
    <w:p w14:paraId="67B9C9C3" w14:textId="3D4065B9" w:rsidR="002805C1" w:rsidRDefault="002805C1">
      <w:pPr>
        <w:pStyle w:val="FootnoteText"/>
      </w:pPr>
      <w:r>
        <w:rPr>
          <w:rStyle w:val="FootnoteReference"/>
        </w:rPr>
        <w:footnoteRef/>
      </w:r>
      <w:r>
        <w:t xml:space="preserve"> See, for example,</w:t>
      </w:r>
      <w:r w:rsidR="00EA01BC">
        <w:t xml:space="preserve"> </w:t>
      </w:r>
      <w:r w:rsidR="0049244E">
        <w:rPr>
          <w:i/>
          <w:iCs/>
        </w:rPr>
        <w:t xml:space="preserve">Barclays Bank Plc v </w:t>
      </w:r>
      <w:r w:rsidR="0049244E" w:rsidRPr="00101E87">
        <w:rPr>
          <w:i/>
          <w:iCs/>
        </w:rPr>
        <w:t>Quincecare</w:t>
      </w:r>
      <w:r w:rsidR="0049244E">
        <w:t xml:space="preserve"> [1992] 4 All ER 363 </w:t>
      </w:r>
      <w:r w:rsidR="00EA01BC">
        <w:t xml:space="preserve">at 376; </w:t>
      </w:r>
      <w:bookmarkStart w:id="11" w:name="_Hlk74665559"/>
      <w:r w:rsidR="00AA468F" w:rsidRPr="00AA468F">
        <w:rPr>
          <w:i/>
          <w:iCs/>
        </w:rPr>
        <w:t>The Federal Republic of Nigeria v JP Morgan Chase Bank, NA</w:t>
      </w:r>
      <w:r w:rsidR="00AA468F" w:rsidRPr="00AA468F">
        <w:t xml:space="preserve"> </w:t>
      </w:r>
      <w:bookmarkEnd w:id="11"/>
      <w:r w:rsidR="00AA468F" w:rsidRPr="00AA468F">
        <w:t>[2019] EWHC 347 (Comm)</w:t>
      </w:r>
      <w:r w:rsidR="00AA468F">
        <w:t xml:space="preserve"> at [21], confirmed on appeal, </w:t>
      </w:r>
      <w:r w:rsidR="00AA468F" w:rsidRPr="00AA468F">
        <w:t>[2019] EWCA Civ 1641</w:t>
      </w:r>
      <w:r w:rsidR="00AA468F">
        <w:t>.</w:t>
      </w:r>
    </w:p>
  </w:footnote>
  <w:footnote w:id="30">
    <w:p w14:paraId="7B6A1021" w14:textId="01ED2066" w:rsidR="000002B2" w:rsidRDefault="000002B2">
      <w:pPr>
        <w:pStyle w:val="FootnoteText"/>
      </w:pPr>
      <w:r>
        <w:rPr>
          <w:rStyle w:val="FootnoteReference"/>
        </w:rPr>
        <w:footnoteRef/>
      </w:r>
      <w:r>
        <w:t xml:space="preserve"> UK: </w:t>
      </w:r>
      <w:r w:rsidRPr="00995FFE">
        <w:t>Supply of Goods and Services Act 1982</w:t>
      </w:r>
      <w:r>
        <w:t>, s</w:t>
      </w:r>
      <w:r w:rsidR="0049244E">
        <w:t xml:space="preserve"> 13</w:t>
      </w:r>
      <w:r>
        <w:t xml:space="preserve">; Hong Kong: </w:t>
      </w:r>
      <w:r w:rsidRPr="00AB7C9A">
        <w:t>Supply of Services (Implied Terms) Ordinance</w:t>
      </w:r>
      <w:r>
        <w:t xml:space="preserve"> (Cap 457, HK) s 5.</w:t>
      </w:r>
    </w:p>
  </w:footnote>
  <w:footnote w:id="31">
    <w:p w14:paraId="66B020AD" w14:textId="5BD2F976" w:rsidR="00A47CBC" w:rsidRDefault="00A47CBC" w:rsidP="00A47CBC">
      <w:pPr>
        <w:pStyle w:val="FootnoteText"/>
      </w:pPr>
      <w:r>
        <w:rPr>
          <w:rStyle w:val="FootnoteReference"/>
        </w:rPr>
        <w:footnoteRef/>
      </w:r>
      <w:r>
        <w:t xml:space="preserve"> </w:t>
      </w:r>
      <w:r w:rsidRPr="00A47CBC">
        <w:t>The courts have long recognized that banks owe an implied duty of care in the conduct of the bank account</w:t>
      </w:r>
      <w:r>
        <w:t>, see</w:t>
      </w:r>
      <w:r w:rsidRPr="00A47CBC">
        <w:t xml:space="preserve"> </w:t>
      </w:r>
      <w:r w:rsidR="0049244E">
        <w:rPr>
          <w:i/>
          <w:iCs/>
        </w:rPr>
        <w:t xml:space="preserve">Curtice v London City &amp; Midland Bank </w:t>
      </w:r>
      <w:r w:rsidR="0049244E">
        <w:t xml:space="preserve">[1908] 1 KB 293; </w:t>
      </w:r>
      <w:r w:rsidR="0049244E">
        <w:rPr>
          <w:i/>
          <w:iCs/>
        </w:rPr>
        <w:t xml:space="preserve">Westminster Bank v </w:t>
      </w:r>
      <w:r w:rsidR="0049244E" w:rsidRPr="00957746">
        <w:rPr>
          <w:i/>
          <w:iCs/>
        </w:rPr>
        <w:t>Hilton</w:t>
      </w:r>
      <w:r w:rsidR="0049244E">
        <w:t xml:space="preserve"> (1926) 43 TLR 124</w:t>
      </w:r>
      <w:r>
        <w:t>.</w:t>
      </w:r>
    </w:p>
  </w:footnote>
  <w:footnote w:id="32">
    <w:p w14:paraId="787D3BDF" w14:textId="33251366" w:rsidR="00BE6C07" w:rsidRDefault="00BE6C07" w:rsidP="00BE6C07">
      <w:pPr>
        <w:pStyle w:val="FootnoteText"/>
      </w:pPr>
      <w:r>
        <w:rPr>
          <w:rStyle w:val="FootnoteReference"/>
        </w:rPr>
        <w:footnoteRef/>
      </w:r>
      <w:r>
        <w:t xml:space="preserve"> </w:t>
      </w:r>
      <w:r w:rsidR="0049244E">
        <w:rPr>
          <w:i/>
          <w:iCs/>
        </w:rPr>
        <w:t xml:space="preserve">Barclays Bank Plc v </w:t>
      </w:r>
      <w:r w:rsidR="0049244E" w:rsidRPr="003F2981">
        <w:rPr>
          <w:i/>
          <w:iCs/>
        </w:rPr>
        <w:t>Quincecare</w:t>
      </w:r>
      <w:r w:rsidR="0049244E">
        <w:t xml:space="preserve"> [1992] 4 All ER 363; </w:t>
      </w:r>
      <w:r w:rsidR="0049244E" w:rsidRPr="00356457">
        <w:rPr>
          <w:rFonts w:cstheme="minorHAnsi"/>
          <w:i/>
          <w:color w:val="000000"/>
          <w:szCs w:val="24"/>
          <w:lang w:eastAsia="ar-SA"/>
        </w:rPr>
        <w:t>Lipkin Gorman v Karpnale &amp; Co</w:t>
      </w:r>
      <w:r w:rsidR="0049244E" w:rsidRPr="00356457">
        <w:rPr>
          <w:rFonts w:cstheme="minorHAnsi"/>
          <w:color w:val="000000"/>
          <w:szCs w:val="24"/>
          <w:lang w:eastAsia="ar-SA"/>
        </w:rPr>
        <w:t xml:space="preserve"> [1989] 1 WLR 1340</w:t>
      </w:r>
      <w:r w:rsidR="0049244E">
        <w:rPr>
          <w:rFonts w:cstheme="minorHAnsi"/>
          <w:color w:val="000000"/>
          <w:szCs w:val="24"/>
          <w:lang w:eastAsia="ar-SA"/>
        </w:rPr>
        <w:t xml:space="preserve"> (CA)</w:t>
      </w:r>
      <w:r w:rsidR="0049244E">
        <w:rPr>
          <w:rFonts w:cstheme="minorHAnsi"/>
          <w:color w:val="000000"/>
          <w:szCs w:val="24"/>
          <w:lang w:eastAsia="ar-SA"/>
        </w:rPr>
        <w:t>.</w:t>
      </w:r>
    </w:p>
  </w:footnote>
  <w:footnote w:id="33">
    <w:p w14:paraId="71F0041C" w14:textId="7BE1372F" w:rsidR="006D57A2" w:rsidRDefault="006D57A2">
      <w:pPr>
        <w:pStyle w:val="FootnoteText"/>
      </w:pPr>
      <w:r>
        <w:rPr>
          <w:rStyle w:val="FootnoteReference"/>
        </w:rPr>
        <w:footnoteRef/>
      </w:r>
      <w:r>
        <w:t xml:space="preserve"> </w:t>
      </w:r>
      <w:r w:rsidR="00A47CBC">
        <w:t>B</w:t>
      </w:r>
      <w:r w:rsidR="00A47CBC" w:rsidRPr="00A47CBC">
        <w:t xml:space="preserve">anks seek to control </w:t>
      </w:r>
      <w:r w:rsidR="00A47CBC">
        <w:t xml:space="preserve">the duty </w:t>
      </w:r>
      <w:r w:rsidR="00A47CBC" w:rsidRPr="00A47CBC">
        <w:t>through the contract terms signed by their customers</w:t>
      </w:r>
      <w:r w:rsidR="00A47CBC">
        <w:t>.</w:t>
      </w:r>
      <w:r w:rsidR="00A47CBC" w:rsidRPr="00A47CBC">
        <w:t xml:space="preserve"> </w:t>
      </w:r>
      <w:r>
        <w:t xml:space="preserve">A good example is in contracts for wealth management services in which banks </w:t>
      </w:r>
      <w:r w:rsidR="00434CAC">
        <w:t xml:space="preserve">frame their service as information providers rather than advisers, and/or exempt themselves from liability. Such strategies may be subject to legislative and other limits, such as </w:t>
      </w:r>
      <w:r w:rsidR="0049244E">
        <w:t>the Unfair Contract Terms Act 1977, s 3; The Consumer Protection from Unfair Trading Regulations 2008, rg 3</w:t>
      </w:r>
      <w:r w:rsidR="00434CAC">
        <w:t>. For further discussion,</w:t>
      </w:r>
      <w:r w:rsidR="00C30933">
        <w:t xml:space="preserve"> see </w:t>
      </w:r>
      <w:r w:rsidR="00C30933" w:rsidRPr="00C30933">
        <w:t xml:space="preserve">Sandra Booysen </w:t>
      </w:r>
      <w:r w:rsidR="00C30933">
        <w:t>‘</w:t>
      </w:r>
      <w:r w:rsidR="00C30933" w:rsidRPr="00C30933">
        <w:t>Twenty Years (and More) of Controlling Unfair Contract Terms in Singapore</w:t>
      </w:r>
      <w:r w:rsidR="00C30933">
        <w:t>’</w:t>
      </w:r>
      <w:r w:rsidR="00C30933" w:rsidRPr="00C30933">
        <w:t xml:space="preserve"> [2016] Sing JLS 219.</w:t>
      </w:r>
    </w:p>
  </w:footnote>
  <w:footnote w:id="34">
    <w:p w14:paraId="33ADF4C8" w14:textId="4D3209AC" w:rsidR="00BC4638" w:rsidRDefault="00BC4638" w:rsidP="00BC4638">
      <w:pPr>
        <w:pStyle w:val="FootnoteText"/>
      </w:pPr>
      <w:r>
        <w:rPr>
          <w:rStyle w:val="FootnoteReference"/>
        </w:rPr>
        <w:footnoteRef/>
      </w:r>
      <w:r>
        <w:t xml:space="preserve"> </w:t>
      </w:r>
      <w:bookmarkStart w:id="14" w:name="_Hlk72398059"/>
      <w:bookmarkStart w:id="15" w:name="_Hlk72842570"/>
      <w:r w:rsidRPr="00886D1F">
        <w:rPr>
          <w:i/>
          <w:iCs/>
        </w:rPr>
        <w:t>Barclays Bank plc v Quincecare Ltd</w:t>
      </w:r>
      <w:r w:rsidRPr="00886D1F">
        <w:t xml:space="preserve"> </w:t>
      </w:r>
      <w:bookmarkEnd w:id="14"/>
      <w:r w:rsidRPr="00886D1F">
        <w:t>[1992] 4 All ER 363</w:t>
      </w:r>
      <w:r>
        <w:t xml:space="preserve"> at 376</w:t>
      </w:r>
      <w:bookmarkEnd w:id="15"/>
      <w:r>
        <w:t xml:space="preserve"> </w:t>
      </w:r>
      <w:r w:rsidR="0049244E">
        <w:t>(</w:t>
      </w:r>
      <w:r>
        <w:t>funds transfer scenario</w:t>
      </w:r>
      <w:r w:rsidR="0049244E">
        <w:t>);</w:t>
      </w:r>
      <w:bookmarkStart w:id="16" w:name="_Hlk67051629"/>
      <w:r>
        <w:t xml:space="preserve"> </w:t>
      </w:r>
      <w:r w:rsidR="0049244E" w:rsidRPr="00356457">
        <w:rPr>
          <w:rFonts w:cstheme="minorHAnsi"/>
          <w:i/>
          <w:color w:val="000000"/>
          <w:szCs w:val="24"/>
          <w:lang w:eastAsia="ar-SA"/>
        </w:rPr>
        <w:t>Lipkin Gorman v Karpnale &amp; Co</w:t>
      </w:r>
      <w:r w:rsidR="0049244E" w:rsidRPr="00356457">
        <w:rPr>
          <w:rFonts w:cstheme="minorHAnsi"/>
          <w:color w:val="000000"/>
          <w:szCs w:val="24"/>
          <w:lang w:eastAsia="ar-SA"/>
        </w:rPr>
        <w:t xml:space="preserve"> [1989] 1 WLR 1340</w:t>
      </w:r>
      <w:r w:rsidR="0049244E">
        <w:rPr>
          <w:rFonts w:cstheme="minorHAnsi"/>
          <w:color w:val="000000"/>
          <w:szCs w:val="24"/>
          <w:lang w:eastAsia="ar-SA"/>
        </w:rPr>
        <w:t xml:space="preserve"> (CA)</w:t>
      </w:r>
      <w:bookmarkEnd w:id="16"/>
      <w:r w:rsidR="0049244E">
        <w:rPr>
          <w:rFonts w:cstheme="minorHAnsi"/>
          <w:color w:val="000000"/>
          <w:szCs w:val="24"/>
          <w:lang w:eastAsia="ar-SA"/>
        </w:rPr>
        <w:t xml:space="preserve"> (</w:t>
      </w:r>
      <w:r>
        <w:t>cheque scenario</w:t>
      </w:r>
      <w:r w:rsidR="0049244E">
        <w:t>)</w:t>
      </w:r>
      <w:r>
        <w:t>.</w:t>
      </w:r>
    </w:p>
  </w:footnote>
  <w:footnote w:id="35">
    <w:p w14:paraId="7EBFD6A0" w14:textId="0FB15351" w:rsidR="00034AE0" w:rsidRDefault="00034AE0">
      <w:pPr>
        <w:pStyle w:val="FootnoteText"/>
      </w:pPr>
      <w:r>
        <w:rPr>
          <w:rStyle w:val="FootnoteReference"/>
        </w:rPr>
        <w:footnoteRef/>
      </w:r>
      <w:r>
        <w:t xml:space="preserve"> </w:t>
      </w:r>
      <w:r w:rsidRPr="00886D1F">
        <w:rPr>
          <w:i/>
          <w:iCs/>
        </w:rPr>
        <w:t>Barclays Bank plc v Quincecare Ltd</w:t>
      </w:r>
      <w:r w:rsidRPr="00886D1F">
        <w:t xml:space="preserve"> [1992] 4 All ER 363</w:t>
      </w:r>
      <w:r>
        <w:t xml:space="preserve"> at 376.</w:t>
      </w:r>
    </w:p>
  </w:footnote>
  <w:footnote w:id="36">
    <w:p w14:paraId="11C19E99" w14:textId="55506E41" w:rsidR="00034AE0" w:rsidRDefault="00034AE0" w:rsidP="00034AE0">
      <w:pPr>
        <w:pStyle w:val="FootnoteText"/>
      </w:pPr>
      <w:r>
        <w:rPr>
          <w:rStyle w:val="FootnoteReference"/>
        </w:rPr>
        <w:footnoteRef/>
      </w:r>
      <w:r>
        <w:t xml:space="preserve"> See, for example, </w:t>
      </w:r>
      <w:r w:rsidRPr="00A7688E">
        <w:rPr>
          <w:i/>
          <w:iCs/>
        </w:rPr>
        <w:t>Ryan v Bank of New South Wales</w:t>
      </w:r>
      <w:r w:rsidRPr="00A7688E">
        <w:t xml:space="preserve"> [1978] VicRp 54</w:t>
      </w:r>
      <w:r>
        <w:t xml:space="preserve">; </w:t>
      </w:r>
      <w:r w:rsidR="0049244E">
        <w:rPr>
          <w:i/>
          <w:iCs/>
        </w:rPr>
        <w:t>Sansom v Westpac Banking Corporation</w:t>
      </w:r>
      <w:r w:rsidR="0049244E">
        <w:t xml:space="preserve"> (1996) Aust Torts Reports 81-383, BC9600344 at 24-25; </w:t>
      </w:r>
      <w:r w:rsidR="0049244E">
        <w:rPr>
          <w:i/>
          <w:iCs/>
        </w:rPr>
        <w:t>Farah Custodians Pty Ltd v Commissioner of Taxation (No 2)</w:t>
      </w:r>
      <w:r w:rsidR="0049244E">
        <w:t xml:space="preserve"> [2019] FCA 1076 at [79].</w:t>
      </w:r>
    </w:p>
  </w:footnote>
  <w:footnote w:id="37">
    <w:p w14:paraId="4BEE118C" w14:textId="7BE40769" w:rsidR="00034AE0" w:rsidRDefault="00034AE0" w:rsidP="00034AE0">
      <w:pPr>
        <w:pStyle w:val="FootnoteText"/>
      </w:pPr>
      <w:r>
        <w:rPr>
          <w:rStyle w:val="FootnoteReference"/>
        </w:rPr>
        <w:footnoteRef/>
      </w:r>
      <w:r>
        <w:t xml:space="preserve"> </w:t>
      </w:r>
      <w:r w:rsidR="00C636D2">
        <w:t xml:space="preserve">See, for example, </w:t>
      </w:r>
      <w:r w:rsidR="00C636D2" w:rsidRPr="00C636D2">
        <w:rPr>
          <w:i/>
          <w:iCs/>
        </w:rPr>
        <w:t>Groves-Raffin Construction Ltd v Bank of Nova Scotia</w:t>
      </w:r>
      <w:r w:rsidR="00C636D2" w:rsidRPr="00C636D2">
        <w:t xml:space="preserve"> [1976] 1 Lloyd's Rep 373.</w:t>
      </w:r>
    </w:p>
  </w:footnote>
  <w:footnote w:id="38">
    <w:p w14:paraId="07240A05" w14:textId="7F9E7F49" w:rsidR="00034AE0" w:rsidRDefault="00034AE0" w:rsidP="00034AE0">
      <w:pPr>
        <w:pStyle w:val="FootnoteText"/>
      </w:pPr>
      <w:r>
        <w:rPr>
          <w:rStyle w:val="FootnoteReference"/>
        </w:rPr>
        <w:footnoteRef/>
      </w:r>
      <w:r>
        <w:t xml:space="preserve">  </w:t>
      </w:r>
      <w:r w:rsidR="00C831EB">
        <w:t xml:space="preserve">See, for example, </w:t>
      </w:r>
      <w:r w:rsidR="00C831EB">
        <w:rPr>
          <w:i/>
          <w:iCs/>
        </w:rPr>
        <w:t xml:space="preserve">Abdul Rahim Abdul Hamid v Perdana Merchant Bankers Bhd </w:t>
      </w:r>
      <w:r w:rsidR="00C831EB">
        <w:t xml:space="preserve">[2006] 5 MLJ 1 at [28]; </w:t>
      </w:r>
      <w:r w:rsidR="00C831EB">
        <w:rPr>
          <w:i/>
          <w:iCs/>
        </w:rPr>
        <w:t xml:space="preserve">Public Bank Bhd v Exporaya Sdn Bhd </w:t>
      </w:r>
      <w:r w:rsidR="00C831EB">
        <w:t>[2013] 1 MLJ 507 at [22], [33].</w:t>
      </w:r>
    </w:p>
  </w:footnote>
  <w:footnote w:id="39">
    <w:p w14:paraId="0CA11359" w14:textId="639710FA" w:rsidR="00034AE0" w:rsidRDefault="00034AE0" w:rsidP="00034AE0">
      <w:pPr>
        <w:pStyle w:val="FootnoteText"/>
      </w:pPr>
      <w:r>
        <w:rPr>
          <w:rStyle w:val="FootnoteReference"/>
        </w:rPr>
        <w:footnoteRef/>
      </w:r>
      <w:r>
        <w:t xml:space="preserve"> </w:t>
      </w:r>
      <w:r w:rsidR="00C831EB">
        <w:t xml:space="preserve">See, for example, </w:t>
      </w:r>
      <w:r w:rsidR="00C831EB">
        <w:rPr>
          <w:i/>
          <w:iCs/>
        </w:rPr>
        <w:t>Westpac New Zealand Ltd v Map &amp; Associates Ltd</w:t>
      </w:r>
      <w:r w:rsidR="00C831EB">
        <w:t xml:space="preserve"> [2011] NZSC 89 at [12], fn 7; </w:t>
      </w:r>
      <w:r w:rsidR="00C831EB">
        <w:rPr>
          <w:i/>
          <w:iCs/>
        </w:rPr>
        <w:t>Tandem Group Ltd v ASB Bank Ltd</w:t>
      </w:r>
      <w:r w:rsidR="00C831EB">
        <w:t xml:space="preserve"> [2021] NZHC 51 at [30]-[33].</w:t>
      </w:r>
    </w:p>
  </w:footnote>
  <w:footnote w:id="40">
    <w:p w14:paraId="1A6FF348" w14:textId="77777777" w:rsidR="00034AE0" w:rsidRDefault="00034AE0" w:rsidP="00034AE0">
      <w:pPr>
        <w:pStyle w:val="FootnoteText"/>
      </w:pPr>
      <w:r>
        <w:rPr>
          <w:rStyle w:val="FootnoteReference"/>
        </w:rPr>
        <w:footnoteRef/>
      </w:r>
      <w:r>
        <w:t xml:space="preserve"> See, for example: </w:t>
      </w:r>
      <w:r w:rsidRPr="00877B83">
        <w:rPr>
          <w:i/>
          <w:iCs/>
          <w:lang w:val="en-US"/>
        </w:rPr>
        <w:t xml:space="preserve">Hsu Ann Mei Amy v Oversea-Chinese Banking Corp Ltd </w:t>
      </w:r>
      <w:r w:rsidRPr="00877B83">
        <w:rPr>
          <w:lang w:val="en-US"/>
        </w:rPr>
        <w:t>[2011] 2 SLR 178 (CA) [23]-[24]</w:t>
      </w:r>
      <w:r>
        <w:rPr>
          <w:lang w:val="en-US"/>
        </w:rPr>
        <w:t xml:space="preserve">; </w:t>
      </w:r>
      <w:r w:rsidRPr="00877B83">
        <w:rPr>
          <w:i/>
          <w:iCs/>
        </w:rPr>
        <w:t>Go Dante Yap v Bank Austria Creditanstalt AG</w:t>
      </w:r>
      <w:r>
        <w:t xml:space="preserve"> </w:t>
      </w:r>
      <w:r w:rsidRPr="00877B83">
        <w:t xml:space="preserve">[2011] 4 SLR 559 (CA) </w:t>
      </w:r>
      <w:r>
        <w:t xml:space="preserve">at 193; </w:t>
      </w:r>
      <w:r w:rsidRPr="00877B83">
        <w:rPr>
          <w:i/>
          <w:iCs/>
          <w:lang w:val="en-US"/>
        </w:rPr>
        <w:t>Yogambikai Nagarajah v Indian Overseas Bank</w:t>
      </w:r>
      <w:r w:rsidRPr="00877B83">
        <w:rPr>
          <w:lang w:val="en-US"/>
        </w:rPr>
        <w:t xml:space="preserve"> [1996] 2 SLR (R) 774 (CA) [52]-[62].</w:t>
      </w:r>
    </w:p>
  </w:footnote>
  <w:footnote w:id="41">
    <w:p w14:paraId="7896A19D" w14:textId="6364D805" w:rsidR="00AC3A94" w:rsidRDefault="00AC3A94">
      <w:pPr>
        <w:pStyle w:val="FootnoteText"/>
      </w:pPr>
      <w:r>
        <w:rPr>
          <w:rStyle w:val="FootnoteReference"/>
        </w:rPr>
        <w:footnoteRef/>
      </w:r>
      <w:r>
        <w:t xml:space="preserve"> </w:t>
      </w:r>
      <w:r w:rsidR="00E21741">
        <w:t>See</w:t>
      </w:r>
      <w:r>
        <w:t xml:space="preserve">, for example, </w:t>
      </w:r>
      <w:r w:rsidRPr="00886D1F">
        <w:rPr>
          <w:i/>
          <w:iCs/>
        </w:rPr>
        <w:t>Barclays Bank plc v Quincecare Ltd</w:t>
      </w:r>
      <w:r w:rsidRPr="00886D1F">
        <w:t xml:space="preserve"> [1992] 4 All ER 363</w:t>
      </w:r>
      <w:r>
        <w:t xml:space="preserve"> at 376</w:t>
      </w:r>
      <w:r w:rsidR="00C831EB">
        <w:t xml:space="preserve">. </w:t>
      </w:r>
    </w:p>
  </w:footnote>
  <w:footnote w:id="42">
    <w:p w14:paraId="1794E2C8" w14:textId="4787A633" w:rsidR="00093533" w:rsidRDefault="00093533" w:rsidP="00093533">
      <w:pPr>
        <w:pStyle w:val="FootnoteText"/>
      </w:pPr>
      <w:r>
        <w:rPr>
          <w:rStyle w:val="FootnoteReference"/>
        </w:rPr>
        <w:footnoteRef/>
      </w:r>
      <w:r>
        <w:t xml:space="preserve"> </w:t>
      </w:r>
      <w:bookmarkStart w:id="17" w:name="_Hlk76824629"/>
      <w:r w:rsidRPr="00D40BDC">
        <w:rPr>
          <w:i/>
        </w:rPr>
        <w:t>Lipkin Gorman v Karpnale Ltd</w:t>
      </w:r>
      <w:r>
        <w:rPr>
          <w:i/>
        </w:rPr>
        <w:t xml:space="preserve"> </w:t>
      </w:r>
      <w:bookmarkEnd w:id="17"/>
      <w:r w:rsidRPr="00043166">
        <w:t>[1989] 1 WLR 1340</w:t>
      </w:r>
      <w:r>
        <w:t xml:space="preserve"> at 1353</w:t>
      </w:r>
      <w:r w:rsidRPr="00043166">
        <w:t>.</w:t>
      </w:r>
      <w:r w:rsidR="00B901C9">
        <w:t xml:space="preserve"> See also </w:t>
      </w:r>
      <w:r w:rsidR="00B901C9" w:rsidRPr="00886D1F">
        <w:rPr>
          <w:i/>
          <w:iCs/>
        </w:rPr>
        <w:t>Barclays Bank plc v Quincecare Ltd</w:t>
      </w:r>
      <w:r w:rsidR="00B901C9" w:rsidRPr="00886D1F">
        <w:t xml:space="preserve"> [1992] 4 All ER 363</w:t>
      </w:r>
      <w:r w:rsidR="00B901C9">
        <w:t xml:space="preserve"> at 376.</w:t>
      </w:r>
    </w:p>
  </w:footnote>
  <w:footnote w:id="43">
    <w:p w14:paraId="45CCCC20" w14:textId="09348BC1" w:rsidR="00093533" w:rsidRDefault="00093533" w:rsidP="00093533">
      <w:pPr>
        <w:pStyle w:val="FootnoteText"/>
      </w:pPr>
      <w:bookmarkStart w:id="18" w:name="_Hlk76826613"/>
      <w:r w:rsidRPr="00E20518">
        <w:rPr>
          <w:rStyle w:val="FootnoteReference"/>
          <w:i/>
          <w:iCs/>
        </w:rPr>
        <w:footnoteRef/>
      </w:r>
      <w:r w:rsidRPr="00E20518">
        <w:rPr>
          <w:i/>
          <w:iCs/>
        </w:rPr>
        <w:t xml:space="preserve"> Philipp v Barclays Bank UK Plc</w:t>
      </w:r>
      <w:r>
        <w:t xml:space="preserve"> </w:t>
      </w:r>
      <w:r w:rsidRPr="000815E5">
        <w:t>[2021] EWHC 10 (Comm)</w:t>
      </w:r>
      <w:r>
        <w:t xml:space="preserve"> at</w:t>
      </w:r>
      <w:bookmarkEnd w:id="18"/>
      <w:r>
        <w:t xml:space="preserve"> [</w:t>
      </w:r>
      <w:r w:rsidR="00C831EB">
        <w:t>158</w:t>
      </w:r>
      <w:r>
        <w:t>].</w:t>
      </w:r>
    </w:p>
  </w:footnote>
  <w:footnote w:id="44">
    <w:p w14:paraId="3BFCF000" w14:textId="33B69405" w:rsidR="003C7471" w:rsidRDefault="003C7471" w:rsidP="003C7471">
      <w:pPr>
        <w:pStyle w:val="FootnoteText"/>
      </w:pPr>
      <w:r>
        <w:rPr>
          <w:rStyle w:val="FootnoteReference"/>
        </w:rPr>
        <w:footnoteRef/>
      </w:r>
      <w:r>
        <w:t xml:space="preserve"> </w:t>
      </w:r>
      <w:r w:rsidR="00F1195E" w:rsidRPr="00F1195E">
        <w:rPr>
          <w:rFonts w:ascii="Calibri" w:eastAsia="Calibri" w:hAnsi="Calibri" w:cs="Arial"/>
          <w:i/>
          <w:color w:val="000000"/>
        </w:rPr>
        <w:t>Selangor United Rubber Estates Ltd v Cradock (No 3)</w:t>
      </w:r>
      <w:r w:rsidR="00F1195E" w:rsidRPr="00F1195E">
        <w:rPr>
          <w:rFonts w:ascii="Calibri" w:eastAsia="Calibri" w:hAnsi="Calibri" w:cs="Arial"/>
          <w:iCs/>
          <w:color w:val="000000"/>
        </w:rPr>
        <w:t xml:space="preserve"> </w:t>
      </w:r>
      <w:r w:rsidR="00F1195E" w:rsidRPr="00F1195E">
        <w:t>[1968</w:t>
      </w:r>
      <w:r w:rsidR="00F1195E" w:rsidRPr="00043166">
        <w:t>] 1 WLR 1555</w:t>
      </w:r>
      <w:r>
        <w:t xml:space="preserve"> at</w:t>
      </w:r>
      <w:r w:rsidRPr="00C17BFB">
        <w:t xml:space="preserve"> 1609</w:t>
      </w:r>
      <w:r>
        <w:t>.</w:t>
      </w:r>
    </w:p>
  </w:footnote>
  <w:footnote w:id="45">
    <w:p w14:paraId="0989E6C5" w14:textId="46B5D43A" w:rsidR="00CA2B64" w:rsidRDefault="00CA2B64" w:rsidP="00CA2B64">
      <w:pPr>
        <w:pStyle w:val="FootnoteText"/>
      </w:pPr>
      <w:r>
        <w:rPr>
          <w:rStyle w:val="FootnoteReference"/>
        </w:rPr>
        <w:footnoteRef/>
      </w:r>
      <w:r>
        <w:t xml:space="preserve"> </w:t>
      </w:r>
      <w:r w:rsidRPr="000815E5">
        <w:t>[2021] EWHC 10 (Comm)</w:t>
      </w:r>
      <w:r>
        <w:t xml:space="preserve"> at [</w:t>
      </w:r>
      <w:r w:rsidR="00803374">
        <w:t>48</w:t>
      </w:r>
      <w:r>
        <w:t>].</w:t>
      </w:r>
    </w:p>
  </w:footnote>
  <w:footnote w:id="46">
    <w:p w14:paraId="0A66D56F" w14:textId="6058B0F0" w:rsidR="00CA2B64" w:rsidRDefault="00CA2B64" w:rsidP="00CA2B64">
      <w:pPr>
        <w:pStyle w:val="FootnoteText"/>
      </w:pPr>
      <w:r>
        <w:rPr>
          <w:rStyle w:val="FootnoteReference"/>
        </w:rPr>
        <w:footnoteRef/>
      </w:r>
      <w:r>
        <w:t xml:space="preserve"> </w:t>
      </w:r>
      <w:r w:rsidRPr="00F51830">
        <w:t>The claim was brought by Mrs Philipp as the transfers were made from an account held in her sole name, but in effect they were joint victims</w:t>
      </w:r>
      <w:r>
        <w:t xml:space="preserve">, see </w:t>
      </w:r>
      <w:r w:rsidRPr="000815E5">
        <w:t>[2021] EWHC 10 (Comm)</w:t>
      </w:r>
      <w:r>
        <w:t xml:space="preserve"> at [</w:t>
      </w:r>
      <w:r w:rsidR="00F1195E">
        <w:t>1</w:t>
      </w:r>
      <w:r>
        <w:t>]</w:t>
      </w:r>
      <w:r w:rsidR="00F1195E">
        <w:t>-[2]</w:t>
      </w:r>
      <w:r>
        <w:t>, [177].</w:t>
      </w:r>
    </w:p>
  </w:footnote>
  <w:footnote w:id="47">
    <w:p w14:paraId="2616A9D7" w14:textId="77777777" w:rsidR="00CA2B64" w:rsidRDefault="00CA2B64" w:rsidP="00CA2B64">
      <w:pPr>
        <w:pStyle w:val="FootnoteText"/>
      </w:pPr>
      <w:r>
        <w:rPr>
          <w:rStyle w:val="FootnoteReference"/>
        </w:rPr>
        <w:footnoteRef/>
      </w:r>
      <w:r>
        <w:t xml:space="preserve"> </w:t>
      </w:r>
      <w:r w:rsidRPr="000815E5">
        <w:t>[2021] EWHC 10 (Comm)</w:t>
      </w:r>
      <w:r>
        <w:t xml:space="preserve"> at [156], [161], [164].</w:t>
      </w:r>
    </w:p>
  </w:footnote>
  <w:footnote w:id="48">
    <w:p w14:paraId="4E7E5E84" w14:textId="77777777" w:rsidR="00CA2B64" w:rsidRDefault="00CA2B64" w:rsidP="00CA2B64">
      <w:pPr>
        <w:pStyle w:val="FootnoteText"/>
      </w:pPr>
      <w:r>
        <w:rPr>
          <w:rStyle w:val="FootnoteReference"/>
        </w:rPr>
        <w:footnoteRef/>
      </w:r>
      <w:r>
        <w:t xml:space="preserve"> </w:t>
      </w:r>
      <w:bookmarkStart w:id="19" w:name="_Hlk76904989"/>
      <w:r w:rsidRPr="000815E5">
        <w:t>[2021] EWHC 10 (Comm)</w:t>
      </w:r>
      <w:r>
        <w:t xml:space="preserve"> at </w:t>
      </w:r>
      <w:bookmarkEnd w:id="19"/>
      <w:r>
        <w:t>[174].</w:t>
      </w:r>
    </w:p>
  </w:footnote>
  <w:footnote w:id="49">
    <w:p w14:paraId="60FCDDBF" w14:textId="77777777" w:rsidR="00CA2B64" w:rsidRDefault="00CA2B64" w:rsidP="00CA2B64">
      <w:pPr>
        <w:pStyle w:val="FootnoteText"/>
      </w:pPr>
      <w:r>
        <w:rPr>
          <w:rStyle w:val="FootnoteReference"/>
        </w:rPr>
        <w:footnoteRef/>
      </w:r>
      <w:r>
        <w:t xml:space="preserve"> [</w:t>
      </w:r>
      <w:r w:rsidRPr="000815E5">
        <w:t>2021] EWHC 10 (Comm)</w:t>
      </w:r>
      <w:r>
        <w:t xml:space="preserve"> at [158], [168], [171].</w:t>
      </w:r>
    </w:p>
  </w:footnote>
  <w:footnote w:id="50">
    <w:p w14:paraId="5FD3C286" w14:textId="77777777" w:rsidR="00CA2B64" w:rsidRDefault="00CA2B64" w:rsidP="00CA2B64">
      <w:pPr>
        <w:pStyle w:val="FootnoteText"/>
      </w:pPr>
      <w:r>
        <w:rPr>
          <w:rStyle w:val="FootnoteReference"/>
        </w:rPr>
        <w:footnoteRef/>
      </w:r>
      <w:r>
        <w:t xml:space="preserve"> </w:t>
      </w:r>
      <w:bookmarkStart w:id="20" w:name="_Hlk67063468"/>
      <w:r w:rsidRPr="000815E5">
        <w:t>[2021] EWHC 10 (Comm)</w:t>
      </w:r>
      <w:r>
        <w:t xml:space="preserve"> at [</w:t>
      </w:r>
      <w:bookmarkEnd w:id="20"/>
      <w:r>
        <w:t>159]. See also [153], [161], [175].</w:t>
      </w:r>
    </w:p>
  </w:footnote>
  <w:footnote w:id="51">
    <w:p w14:paraId="59DA7C39" w14:textId="3EFE856D" w:rsidR="00CA2B64" w:rsidRDefault="00CA2B64" w:rsidP="00CA2B64">
      <w:pPr>
        <w:pStyle w:val="FootnoteText"/>
      </w:pPr>
      <w:r>
        <w:rPr>
          <w:rStyle w:val="FootnoteReference"/>
        </w:rPr>
        <w:footnoteRef/>
      </w:r>
      <w:r>
        <w:t xml:space="preserve"> [</w:t>
      </w:r>
      <w:r w:rsidRPr="000002B2">
        <w:t>2021] EWHC 10 (Comm) at [</w:t>
      </w:r>
      <w:r>
        <w:t xml:space="preserve">172]. In this regard see </w:t>
      </w:r>
      <w:r w:rsidR="00F1195E" w:rsidRPr="00D40BDC">
        <w:rPr>
          <w:i/>
        </w:rPr>
        <w:t>Lipkin Gorman v Karpnale Ltd</w:t>
      </w:r>
      <w:r w:rsidR="00F1195E">
        <w:rPr>
          <w:i/>
        </w:rPr>
        <w:t xml:space="preserve"> </w:t>
      </w:r>
      <w:r>
        <w:t xml:space="preserve">[1987] 1 WLR </w:t>
      </w:r>
      <w:r w:rsidR="00F1195E">
        <w:t>987 (QB)</w:t>
      </w:r>
      <w:r>
        <w:t xml:space="preserve"> at 1006.</w:t>
      </w:r>
    </w:p>
  </w:footnote>
  <w:footnote w:id="52">
    <w:p w14:paraId="6C4D5ACD" w14:textId="4FE68A07" w:rsidR="00F260D0" w:rsidRDefault="00F260D0">
      <w:pPr>
        <w:pStyle w:val="FootnoteText"/>
      </w:pPr>
      <w:r>
        <w:rPr>
          <w:rStyle w:val="FootnoteReference"/>
        </w:rPr>
        <w:footnoteRef/>
      </w:r>
      <w:r>
        <w:t xml:space="preserve"> </w:t>
      </w:r>
      <w:bookmarkStart w:id="21" w:name="_Hlk76906816"/>
      <w:r w:rsidRPr="000815E5">
        <w:t>[2021] EWHC 10 (Comm)</w:t>
      </w:r>
      <w:r>
        <w:t xml:space="preserve"> at</w:t>
      </w:r>
      <w:r>
        <w:t xml:space="preserve"> </w:t>
      </w:r>
      <w:bookmarkEnd w:id="21"/>
      <w:r>
        <w:t>[62]-[63], [66].</w:t>
      </w:r>
    </w:p>
  </w:footnote>
  <w:footnote w:id="53">
    <w:p w14:paraId="5F0A062C" w14:textId="63DE54B4" w:rsidR="00F260D0" w:rsidRDefault="00F260D0">
      <w:pPr>
        <w:pStyle w:val="FootnoteText"/>
      </w:pPr>
      <w:r>
        <w:rPr>
          <w:rStyle w:val="FootnoteReference"/>
        </w:rPr>
        <w:footnoteRef/>
      </w:r>
      <w:r>
        <w:t xml:space="preserve"> </w:t>
      </w:r>
      <w:r w:rsidRPr="00F260D0">
        <w:t>[2021] EWHC 10 (Comm) at</w:t>
      </w:r>
      <w:r>
        <w:t xml:space="preserve"> [41].</w:t>
      </w:r>
    </w:p>
  </w:footnote>
  <w:footnote w:id="54">
    <w:p w14:paraId="6B6412D6" w14:textId="77777777" w:rsidR="00906F00" w:rsidRDefault="00906F00" w:rsidP="00906F00">
      <w:pPr>
        <w:pStyle w:val="FootnoteText"/>
      </w:pPr>
      <w:r>
        <w:rPr>
          <w:rStyle w:val="FootnoteReference"/>
        </w:rPr>
        <w:footnoteRef/>
      </w:r>
      <w:r>
        <w:t xml:space="preserve"> </w:t>
      </w:r>
      <w:bookmarkStart w:id="22" w:name="_Hlk67051306"/>
      <w:r w:rsidRPr="000815E5">
        <w:t>[2021] EWHC 10 (Comm)</w:t>
      </w:r>
      <w:r>
        <w:t xml:space="preserve"> at [</w:t>
      </w:r>
      <w:bookmarkEnd w:id="22"/>
      <w:r>
        <w:t>71], [177].</w:t>
      </w:r>
    </w:p>
  </w:footnote>
  <w:footnote w:id="55">
    <w:p w14:paraId="79337E6B" w14:textId="77777777" w:rsidR="00906F00" w:rsidRDefault="00906F00" w:rsidP="00906F00">
      <w:pPr>
        <w:pStyle w:val="FootnoteText"/>
      </w:pPr>
      <w:r>
        <w:rPr>
          <w:rStyle w:val="FootnoteReference"/>
        </w:rPr>
        <w:footnoteRef/>
      </w:r>
      <w:r>
        <w:t xml:space="preserve"> </w:t>
      </w:r>
      <w:r w:rsidRPr="000815E5">
        <w:t>[2021] EWHC 10 (Comm)</w:t>
      </w:r>
      <w:r>
        <w:t xml:space="preserve"> at [75], see also [130]-[131].</w:t>
      </w:r>
    </w:p>
  </w:footnote>
  <w:footnote w:id="56">
    <w:p w14:paraId="3FE97EB9" w14:textId="412701DD" w:rsidR="00D77138" w:rsidRPr="00043166" w:rsidRDefault="00D77138" w:rsidP="00D77138">
      <w:pPr>
        <w:pStyle w:val="FootnoteText"/>
        <w:ind w:left="170" w:hanging="170"/>
      </w:pPr>
      <w:r w:rsidRPr="00043166">
        <w:rPr>
          <w:rStyle w:val="FootnoteReference"/>
        </w:rPr>
        <w:footnoteRef/>
      </w:r>
      <w:r w:rsidRPr="00043166">
        <w:t xml:space="preserve"> [1968] 1 WLR 1555.</w:t>
      </w:r>
      <w:r w:rsidR="00FD164A">
        <w:t xml:space="preserve"> At p 1599, the court relied on </w:t>
      </w:r>
      <w:r w:rsidR="007E798D">
        <w:rPr>
          <w:i/>
          <w:iCs/>
        </w:rPr>
        <w:t xml:space="preserve">Westminster Bank v </w:t>
      </w:r>
      <w:r w:rsidR="007E798D" w:rsidRPr="00101E87">
        <w:rPr>
          <w:i/>
          <w:iCs/>
        </w:rPr>
        <w:t>Hilton</w:t>
      </w:r>
      <w:r w:rsidR="007E798D">
        <w:t xml:space="preserve"> (1926) 43 TLR 124 and </w:t>
      </w:r>
      <w:r w:rsidR="007E798D">
        <w:rPr>
          <w:i/>
          <w:iCs/>
        </w:rPr>
        <w:t xml:space="preserve">Curtice v London City &amp; Midland Bank </w:t>
      </w:r>
      <w:r w:rsidR="007E798D">
        <w:t>[1908] 1 KB 293</w:t>
      </w:r>
      <w:r w:rsidR="007E798D">
        <w:t xml:space="preserve"> </w:t>
      </w:r>
      <w:r w:rsidR="00FD164A">
        <w:t>to conclude that a bank has a duty of care in contract which may require it to delay paying a cheque and make inquiries.</w:t>
      </w:r>
    </w:p>
  </w:footnote>
  <w:footnote w:id="57">
    <w:p w14:paraId="588A1C18" w14:textId="062539E7" w:rsidR="00C81EB5" w:rsidRDefault="00C81EB5">
      <w:pPr>
        <w:pStyle w:val="FootnoteText"/>
      </w:pPr>
      <w:r>
        <w:rPr>
          <w:rStyle w:val="FootnoteReference"/>
        </w:rPr>
        <w:footnoteRef/>
      </w:r>
      <w:r>
        <w:t xml:space="preserve"> </w:t>
      </w:r>
      <w:r w:rsidRPr="00043166">
        <w:t>[1972] 1 WLR 602.</w:t>
      </w:r>
    </w:p>
  </w:footnote>
  <w:footnote w:id="58">
    <w:p w14:paraId="0C5E0764" w14:textId="77777777" w:rsidR="00B45D74" w:rsidRDefault="00B45D74" w:rsidP="00B45D74">
      <w:pPr>
        <w:pStyle w:val="FootnoteText"/>
      </w:pPr>
      <w:r>
        <w:rPr>
          <w:rStyle w:val="FootnoteReference"/>
        </w:rPr>
        <w:footnoteRef/>
      </w:r>
      <w:r>
        <w:t xml:space="preserve"> See </w:t>
      </w:r>
      <w:r>
        <w:rPr>
          <w:i/>
          <w:iCs/>
        </w:rPr>
        <w:t xml:space="preserve">Selangor </w:t>
      </w:r>
      <w:r w:rsidRPr="00DA4A6F">
        <w:t>[1968] 1 WLR 1555</w:t>
      </w:r>
      <w:r>
        <w:t xml:space="preserve"> at 1608; </w:t>
      </w:r>
      <w:r>
        <w:rPr>
          <w:i/>
          <w:iCs/>
        </w:rPr>
        <w:t xml:space="preserve">Karak </w:t>
      </w:r>
      <w:r w:rsidRPr="00043166">
        <w:t>[1972] 1 WLR 602 at 629.</w:t>
      </w:r>
    </w:p>
  </w:footnote>
  <w:footnote w:id="59">
    <w:p w14:paraId="0ED607DC" w14:textId="3B56F263" w:rsidR="008740B7" w:rsidRDefault="008740B7" w:rsidP="008740B7">
      <w:pPr>
        <w:pStyle w:val="FootnoteText"/>
      </w:pPr>
      <w:r>
        <w:rPr>
          <w:rStyle w:val="FootnoteReference"/>
        </w:rPr>
        <w:footnoteRef/>
      </w:r>
      <w:r>
        <w:t xml:space="preserve"> </w:t>
      </w:r>
      <w:bookmarkStart w:id="23" w:name="_Hlk74928456"/>
      <w:r w:rsidRPr="00043166">
        <w:t>[1968] 1 WLR 1555</w:t>
      </w:r>
      <w:r>
        <w:t xml:space="preserve"> </w:t>
      </w:r>
      <w:bookmarkEnd w:id="23"/>
      <w:r>
        <w:t>at 1599.</w:t>
      </w:r>
      <w:r w:rsidR="00885C0D" w:rsidRPr="00885C0D">
        <w:t xml:space="preserve"> </w:t>
      </w:r>
      <w:r w:rsidR="009E0D4E">
        <w:t>At 1595, Ungoed-Thomas J</w:t>
      </w:r>
      <w:r w:rsidR="009E0D4E" w:rsidRPr="00885C0D">
        <w:t xml:space="preserve"> </w:t>
      </w:r>
      <w:r w:rsidR="009E0D4E">
        <w:t xml:space="preserve">specifically </w:t>
      </w:r>
      <w:r w:rsidR="009E0D4E" w:rsidRPr="00885C0D">
        <w:t>rejected an argument that there was scant authority for such a duty</w:t>
      </w:r>
      <w:r w:rsidR="009E0D4E">
        <w:t>.</w:t>
      </w:r>
    </w:p>
  </w:footnote>
  <w:footnote w:id="60">
    <w:p w14:paraId="78CD2779" w14:textId="65846C54" w:rsidR="008854F1" w:rsidRDefault="008854F1">
      <w:pPr>
        <w:pStyle w:val="FootnoteText"/>
      </w:pPr>
      <w:r>
        <w:rPr>
          <w:rStyle w:val="FootnoteReference"/>
        </w:rPr>
        <w:footnoteRef/>
      </w:r>
      <w:r>
        <w:t xml:space="preserve"> </w:t>
      </w:r>
      <w:r w:rsidRPr="00043166">
        <w:t>1968] 1 WLR 1555</w:t>
      </w:r>
      <w:r>
        <w:t xml:space="preserve"> at 1604.</w:t>
      </w:r>
    </w:p>
  </w:footnote>
  <w:footnote w:id="61">
    <w:p w14:paraId="071954C7" w14:textId="3993D21F" w:rsidR="0049505E" w:rsidRDefault="0049505E">
      <w:pPr>
        <w:pStyle w:val="FootnoteText"/>
      </w:pPr>
      <w:r>
        <w:rPr>
          <w:rStyle w:val="FootnoteReference"/>
        </w:rPr>
        <w:footnoteRef/>
      </w:r>
      <w:r>
        <w:t xml:space="preserve"> See </w:t>
      </w:r>
      <w:r w:rsidR="007E52D8">
        <w:rPr>
          <w:i/>
          <w:iCs/>
        </w:rPr>
        <w:t xml:space="preserve">Westminster Bank v </w:t>
      </w:r>
      <w:r w:rsidR="007E52D8" w:rsidRPr="00103C9F">
        <w:rPr>
          <w:i/>
          <w:iCs/>
        </w:rPr>
        <w:t>Hilton</w:t>
      </w:r>
      <w:r w:rsidR="007E52D8">
        <w:t xml:space="preserve"> (1926) 43 TLR 124, </w:t>
      </w:r>
      <w:r w:rsidR="007E52D8">
        <w:rPr>
          <w:i/>
          <w:iCs/>
        </w:rPr>
        <w:t xml:space="preserve">Curtice v London City &amp; Midland Bank </w:t>
      </w:r>
      <w:r w:rsidR="007E52D8">
        <w:t>[1908] 1 KB 293</w:t>
      </w:r>
      <w:r w:rsidR="007E52D8">
        <w:t>.</w:t>
      </w:r>
    </w:p>
  </w:footnote>
  <w:footnote w:id="62">
    <w:p w14:paraId="316C9998" w14:textId="56A51986" w:rsidR="000372ED" w:rsidRDefault="000372ED">
      <w:pPr>
        <w:pStyle w:val="FootnoteText"/>
      </w:pPr>
      <w:r>
        <w:rPr>
          <w:rStyle w:val="FootnoteReference"/>
        </w:rPr>
        <w:footnoteRef/>
      </w:r>
      <w:r>
        <w:t xml:space="preserve"> </w:t>
      </w:r>
      <w:r w:rsidRPr="00043166">
        <w:t>[1972] 1 WLR 602 at 629.</w:t>
      </w:r>
    </w:p>
  </w:footnote>
  <w:footnote w:id="63">
    <w:p w14:paraId="4B52B9BA" w14:textId="4E4A376F" w:rsidR="00AF01B9" w:rsidRDefault="00AF01B9" w:rsidP="00AF01B9">
      <w:pPr>
        <w:pStyle w:val="FootnoteText"/>
      </w:pPr>
      <w:r>
        <w:rPr>
          <w:rStyle w:val="FootnoteReference"/>
        </w:rPr>
        <w:footnoteRef/>
      </w:r>
      <w:r>
        <w:t xml:space="preserve"> </w:t>
      </w:r>
      <w:r w:rsidR="007E52D8" w:rsidRPr="00D40BDC">
        <w:rPr>
          <w:i/>
        </w:rPr>
        <w:t>Lipkin Gorman v Karpnale Ltd</w:t>
      </w:r>
      <w:r w:rsidR="007E52D8">
        <w:rPr>
          <w:i/>
        </w:rPr>
        <w:t xml:space="preserve"> </w:t>
      </w:r>
      <w:r w:rsidR="007E52D8" w:rsidRPr="00043166">
        <w:t>[1989] 1 WLR 1340</w:t>
      </w:r>
      <w:r>
        <w:t xml:space="preserve"> at pp 1377-1378.</w:t>
      </w:r>
    </w:p>
  </w:footnote>
  <w:footnote w:id="64">
    <w:p w14:paraId="68C61740" w14:textId="1ED40C16" w:rsidR="006A7863" w:rsidRDefault="006A7863">
      <w:pPr>
        <w:pStyle w:val="FootnoteText"/>
      </w:pPr>
      <w:r>
        <w:rPr>
          <w:rStyle w:val="FootnoteReference"/>
        </w:rPr>
        <w:footnoteRef/>
      </w:r>
      <w:r>
        <w:t xml:space="preserve"> </w:t>
      </w:r>
      <w:r w:rsidRPr="00886D1F">
        <w:t>[1992] 4 All ER 363</w:t>
      </w:r>
      <w:r>
        <w:t xml:space="preserve"> at 376.</w:t>
      </w:r>
    </w:p>
  </w:footnote>
  <w:footnote w:id="65">
    <w:p w14:paraId="174F3484" w14:textId="0BB521C9" w:rsidR="00AC2B4C" w:rsidRPr="006E6510" w:rsidRDefault="00AC2B4C" w:rsidP="00AC2B4C">
      <w:pPr>
        <w:pStyle w:val="FootnoteText"/>
      </w:pPr>
      <w:r>
        <w:rPr>
          <w:rStyle w:val="FootnoteReference"/>
        </w:rPr>
        <w:footnoteRef/>
      </w:r>
      <w:r>
        <w:t xml:space="preserve"> The duty of care did not feature in the final appeal to the House of Lords, see [</w:t>
      </w:r>
      <w:r w:rsidR="00F630B2">
        <w:t>1991</w:t>
      </w:r>
      <w:r>
        <w:t>]</w:t>
      </w:r>
      <w:r w:rsidR="00F630B2">
        <w:t xml:space="preserve"> 2 AC 548</w:t>
      </w:r>
      <w:r>
        <w:t>.</w:t>
      </w:r>
      <w:r w:rsidR="006E6510" w:rsidRPr="006E6510">
        <w:rPr>
          <w:rFonts w:ascii="Calibri" w:eastAsia="Calibri" w:hAnsi="Calibri" w:cs="Arial"/>
          <w:color w:val="000000"/>
          <w:sz w:val="24"/>
          <w:szCs w:val="24"/>
        </w:rPr>
        <w:t xml:space="preserve"> </w:t>
      </w:r>
      <w:r w:rsidR="006E6510" w:rsidRPr="006E6510">
        <w:t xml:space="preserve">The </w:t>
      </w:r>
      <w:r w:rsidR="006E6510">
        <w:t xml:space="preserve">focus of the </w:t>
      </w:r>
      <w:r w:rsidR="006E6510" w:rsidRPr="006E6510">
        <w:t>trial court</w:t>
      </w:r>
      <w:r w:rsidR="006E6510">
        <w:t>, which</w:t>
      </w:r>
      <w:r w:rsidR="006E6510" w:rsidRPr="006E6510">
        <w:t xml:space="preserve"> preceded </w:t>
      </w:r>
      <w:r w:rsidR="006E6510" w:rsidRPr="006E6510">
        <w:rPr>
          <w:i/>
          <w:iCs/>
        </w:rPr>
        <w:t>Quincecare</w:t>
      </w:r>
      <w:r w:rsidR="006E6510">
        <w:t>, was largely</w:t>
      </w:r>
      <w:r w:rsidR="006E6510" w:rsidRPr="003439BB">
        <w:t xml:space="preserve"> on the bank’s liability as a constructive trustee</w:t>
      </w:r>
      <w:r w:rsidR="006E6510">
        <w:t>, see</w:t>
      </w:r>
      <w:r w:rsidR="006E6510" w:rsidRPr="003439BB">
        <w:t xml:space="preserve"> </w:t>
      </w:r>
      <w:r w:rsidR="006E6510">
        <w:t>[1987] 1 WLR 987 at 1006.</w:t>
      </w:r>
    </w:p>
  </w:footnote>
  <w:footnote w:id="66">
    <w:p w14:paraId="5309DB7F" w14:textId="587819AC" w:rsidR="009800D1" w:rsidRDefault="009800D1" w:rsidP="009800D1">
      <w:pPr>
        <w:pStyle w:val="FootnoteText"/>
      </w:pPr>
      <w:r>
        <w:rPr>
          <w:rStyle w:val="FootnoteReference"/>
        </w:rPr>
        <w:footnoteRef/>
      </w:r>
      <w:r>
        <w:t xml:space="preserve"> The case can be criticised for erring in favour of the bank. One of the reasons given for the decision was the bank’s </w:t>
      </w:r>
      <w:r w:rsidR="00122ED6">
        <w:t xml:space="preserve">that the bank’s </w:t>
      </w:r>
      <w:r>
        <w:t>duty of confidentiality to the rogue solicitor, who held a personal account with the bank, prevented the bank from contacting one of the firm’s other partners. This view is, however, unsound, as the bank could have limited its enquiry to the activity on the firm’s account and need not have revealed any information about the solicitor’s personal accoun</w:t>
      </w:r>
      <w:r w:rsidR="00122ED6">
        <w:t>t, as acknowledged in the trial court,</w:t>
      </w:r>
      <w:r w:rsidR="007E52D8" w:rsidRPr="007E52D8">
        <w:rPr>
          <w:i/>
        </w:rPr>
        <w:t xml:space="preserve"> </w:t>
      </w:r>
      <w:r w:rsidR="007E52D8" w:rsidRPr="00D40BDC">
        <w:rPr>
          <w:i/>
        </w:rPr>
        <w:t>Lipkin Gorman v Karpnale Ltd</w:t>
      </w:r>
      <w:r w:rsidR="007E52D8">
        <w:rPr>
          <w:i/>
        </w:rPr>
        <w:t xml:space="preserve"> </w:t>
      </w:r>
      <w:r w:rsidR="007E52D8" w:rsidRPr="00043166">
        <w:t>[1989] 1 WLR 1340</w:t>
      </w:r>
      <w:r w:rsidR="00122ED6">
        <w:t xml:space="preserve"> at 1014.</w:t>
      </w:r>
    </w:p>
  </w:footnote>
  <w:footnote w:id="67">
    <w:p w14:paraId="77C54422" w14:textId="237FFAFA" w:rsidR="00E96576" w:rsidRDefault="00E96576">
      <w:pPr>
        <w:pStyle w:val="FootnoteText"/>
      </w:pPr>
      <w:r>
        <w:rPr>
          <w:rStyle w:val="FootnoteReference"/>
        </w:rPr>
        <w:footnoteRef/>
      </w:r>
      <w:r>
        <w:t xml:space="preserve"> See also </w:t>
      </w:r>
      <w:r>
        <w:rPr>
          <w:i/>
          <w:iCs/>
          <w:lang w:val="en-SG"/>
        </w:rPr>
        <w:t>Verjee v CIBC Bank</w:t>
      </w:r>
      <w:r>
        <w:rPr>
          <w:lang w:val="en-SG"/>
        </w:rPr>
        <w:t xml:space="preserve"> [2001] Lloyd's Rep Bank 279</w:t>
      </w:r>
      <w:r>
        <w:rPr>
          <w:lang w:val="en-SG"/>
        </w:rPr>
        <w:t xml:space="preserve"> </w:t>
      </w:r>
      <w:r w:rsidR="00900757">
        <w:rPr>
          <w:lang w:val="en-SG"/>
        </w:rPr>
        <w:t xml:space="preserve">where </w:t>
      </w:r>
      <w:r w:rsidRPr="00E96576">
        <w:rPr>
          <w:lang w:val="en-SG"/>
        </w:rPr>
        <w:t xml:space="preserve">the court </w:t>
      </w:r>
      <w:r w:rsidR="00F9048E">
        <w:rPr>
          <w:lang w:val="en-SG"/>
        </w:rPr>
        <w:t xml:space="preserve">apparently accepted </w:t>
      </w:r>
      <w:r w:rsidRPr="00E96576">
        <w:rPr>
          <w:lang w:val="en-SG"/>
        </w:rPr>
        <w:t xml:space="preserve">that the </w:t>
      </w:r>
      <w:r w:rsidRPr="00F9048E">
        <w:rPr>
          <w:i/>
          <w:iCs/>
          <w:lang w:val="en-SG"/>
        </w:rPr>
        <w:t>Quincecare</w:t>
      </w:r>
      <w:r w:rsidRPr="00E96576">
        <w:rPr>
          <w:lang w:val="en-SG"/>
        </w:rPr>
        <w:t xml:space="preserve"> duty could be triggered </w:t>
      </w:r>
      <w:r w:rsidR="00F9048E">
        <w:rPr>
          <w:lang w:val="en-SG"/>
        </w:rPr>
        <w:t xml:space="preserve">when the account holder authorised the transaction, but </w:t>
      </w:r>
      <w:r w:rsidR="00900757">
        <w:rPr>
          <w:lang w:val="en-SG"/>
        </w:rPr>
        <w:t xml:space="preserve">also </w:t>
      </w:r>
      <w:r w:rsidR="00F9048E">
        <w:rPr>
          <w:lang w:val="en-SG"/>
        </w:rPr>
        <w:t xml:space="preserve">indicated that it would be </w:t>
      </w:r>
      <w:r w:rsidRPr="00E96576">
        <w:rPr>
          <w:lang w:val="en-SG"/>
        </w:rPr>
        <w:t>harder to ma</w:t>
      </w:r>
      <w:r w:rsidR="00F9048E">
        <w:rPr>
          <w:lang w:val="en-SG"/>
        </w:rPr>
        <w:t>k</w:t>
      </w:r>
      <w:r w:rsidRPr="00E96576">
        <w:rPr>
          <w:lang w:val="en-SG"/>
        </w:rPr>
        <w:t>e out on the facts.</w:t>
      </w:r>
    </w:p>
  </w:footnote>
  <w:footnote w:id="68">
    <w:p w14:paraId="194C9F67" w14:textId="16AA86EA" w:rsidR="008277F9" w:rsidRDefault="008277F9" w:rsidP="008277F9">
      <w:pPr>
        <w:pStyle w:val="FootnoteText"/>
      </w:pPr>
      <w:r>
        <w:rPr>
          <w:rStyle w:val="FootnoteReference"/>
        </w:rPr>
        <w:footnoteRef/>
      </w:r>
      <w:r>
        <w:t xml:space="preserve"> </w:t>
      </w:r>
      <w:r w:rsidR="007E52D8">
        <w:rPr>
          <w:i/>
          <w:iCs/>
        </w:rPr>
        <w:t xml:space="preserve">Barclays Bank Plc v </w:t>
      </w:r>
      <w:r w:rsidR="007E52D8" w:rsidRPr="003F2981">
        <w:rPr>
          <w:i/>
          <w:iCs/>
        </w:rPr>
        <w:t>Quincecare</w:t>
      </w:r>
      <w:r w:rsidR="007E52D8">
        <w:t xml:space="preserve"> [1992] 4 All ER 363</w:t>
      </w:r>
      <w:r>
        <w:t xml:space="preserve"> </w:t>
      </w:r>
      <w:r w:rsidRPr="005D7463">
        <w:t>at 376</w:t>
      </w:r>
      <w:r>
        <w:t>. See also</w:t>
      </w:r>
      <w:r w:rsidRPr="004E6CE1">
        <w:rPr>
          <w:i/>
          <w:iCs/>
          <w:lang w:val="en-US"/>
        </w:rPr>
        <w:t xml:space="preserve"> JP Morgan Chase Bank NA v Federal Republic of Nigeria</w:t>
      </w:r>
      <w:r w:rsidRPr="004E6CE1">
        <w:t xml:space="preserve"> </w:t>
      </w:r>
      <w:r w:rsidRPr="00335020">
        <w:t>[2019] 2 CLC 559</w:t>
      </w:r>
      <w:r>
        <w:t xml:space="preserve"> at [30].</w:t>
      </w:r>
    </w:p>
  </w:footnote>
  <w:footnote w:id="69">
    <w:p w14:paraId="28713FE4" w14:textId="77777777" w:rsidR="003A4305" w:rsidRDefault="003A4305" w:rsidP="003A4305">
      <w:pPr>
        <w:pStyle w:val="FootnoteText"/>
      </w:pPr>
      <w:r>
        <w:rPr>
          <w:rStyle w:val="FootnoteReference"/>
        </w:rPr>
        <w:footnoteRef/>
      </w:r>
      <w:r>
        <w:t xml:space="preserve"> </w:t>
      </w:r>
      <w:bookmarkStart w:id="27" w:name="_Hlk74146273"/>
      <w:r w:rsidRPr="00832E92">
        <w:t>[2020] AC 1189</w:t>
      </w:r>
      <w:r>
        <w:t xml:space="preserve">. See also </w:t>
      </w:r>
      <w:bookmarkStart w:id="28" w:name="_Hlk75615114"/>
      <w:r w:rsidRPr="00E24A71">
        <w:rPr>
          <w:i/>
          <w:iCs/>
        </w:rPr>
        <w:t>JP Morgan Chase Bank NA v Federal Republic of Nigeria</w:t>
      </w:r>
      <w:r>
        <w:t xml:space="preserve"> </w:t>
      </w:r>
      <w:r w:rsidRPr="00335020">
        <w:t>[2019] 2 CLC 559</w:t>
      </w:r>
      <w:r>
        <w:t xml:space="preserve"> </w:t>
      </w:r>
      <w:bookmarkEnd w:id="28"/>
      <w:r>
        <w:t>at [71].</w:t>
      </w:r>
      <w:bookmarkEnd w:id="27"/>
    </w:p>
  </w:footnote>
  <w:footnote w:id="70">
    <w:p w14:paraId="362910E5" w14:textId="77777777" w:rsidR="00A86A8E" w:rsidRDefault="00A86A8E" w:rsidP="00A86A8E">
      <w:pPr>
        <w:pStyle w:val="FootnoteText"/>
      </w:pPr>
      <w:r>
        <w:rPr>
          <w:rStyle w:val="FootnoteReference"/>
        </w:rPr>
        <w:footnoteRef/>
      </w:r>
      <w:r>
        <w:t xml:space="preserve"> </w:t>
      </w:r>
      <w:r w:rsidRPr="000A5244">
        <w:t>[2020] AC 1189 at [23]</w:t>
      </w:r>
      <w:r>
        <w:t>.</w:t>
      </w:r>
    </w:p>
  </w:footnote>
  <w:footnote w:id="71">
    <w:p w14:paraId="6079F855" w14:textId="77777777" w:rsidR="00A86A8E" w:rsidRDefault="00A86A8E" w:rsidP="00A86A8E">
      <w:pPr>
        <w:pStyle w:val="FootnoteText"/>
      </w:pPr>
      <w:r>
        <w:rPr>
          <w:rStyle w:val="FootnoteReference"/>
        </w:rPr>
        <w:footnoteRef/>
      </w:r>
      <w:r>
        <w:t xml:space="preserve"> </w:t>
      </w:r>
      <w:r w:rsidRPr="000A5244">
        <w:t>[2020] AC 1189 at</w:t>
      </w:r>
      <w:r>
        <w:t xml:space="preserve"> [35].</w:t>
      </w:r>
    </w:p>
  </w:footnote>
  <w:footnote w:id="72">
    <w:p w14:paraId="0D6075B3" w14:textId="43785591" w:rsidR="00E00657" w:rsidRDefault="00E00657">
      <w:pPr>
        <w:pStyle w:val="FootnoteText"/>
      </w:pPr>
      <w:r>
        <w:rPr>
          <w:rStyle w:val="FootnoteReference"/>
        </w:rPr>
        <w:footnoteRef/>
      </w:r>
      <w:r>
        <w:t xml:space="preserve"> </w:t>
      </w:r>
      <w:bookmarkStart w:id="29" w:name="_Hlk76049378"/>
      <w:r>
        <w:t xml:space="preserve">See, for example, </w:t>
      </w:r>
      <w:bookmarkStart w:id="30" w:name="_Hlk76051895"/>
      <w:r w:rsidR="007966AD" w:rsidRPr="007966AD">
        <w:t xml:space="preserve">UK Finance ‘Fraud The Facts 2021’ </w:t>
      </w:r>
      <w:bookmarkEnd w:id="30"/>
      <w:r w:rsidR="007966AD" w:rsidRPr="007966AD">
        <w:t>p [].</w:t>
      </w:r>
    </w:p>
    <w:bookmarkEnd w:id="29"/>
  </w:footnote>
  <w:footnote w:id="73">
    <w:p w14:paraId="1FED3404" w14:textId="4CF8C042" w:rsidR="00891B16" w:rsidRDefault="00891B16" w:rsidP="00891B16">
      <w:pPr>
        <w:pStyle w:val="FootnoteText"/>
      </w:pPr>
      <w:r>
        <w:rPr>
          <w:rStyle w:val="FootnoteReference"/>
        </w:rPr>
        <w:footnoteRef/>
      </w:r>
      <w:r>
        <w:t xml:space="preserve"> For a corporate example, see </w:t>
      </w:r>
      <w:r w:rsidR="00C40C60" w:rsidRPr="002B7091">
        <w:rPr>
          <w:i/>
          <w:iCs/>
          <w:lang w:val="en-US"/>
        </w:rPr>
        <w:t>Tidal Energy Ltd v Bank of Scotland plc</w:t>
      </w:r>
      <w:r w:rsidR="00C40C60">
        <w:rPr>
          <w:i/>
          <w:iCs/>
          <w:lang w:val="en-US"/>
        </w:rPr>
        <w:t xml:space="preserve"> </w:t>
      </w:r>
      <w:r w:rsidR="00C40C60">
        <w:t>[2014] 2 Lloyd's Rep 549</w:t>
      </w:r>
      <w:r>
        <w:t>.</w:t>
      </w:r>
    </w:p>
  </w:footnote>
  <w:footnote w:id="74">
    <w:p w14:paraId="610C9C0B" w14:textId="165EE610" w:rsidR="000A7148" w:rsidRDefault="000A7148">
      <w:pPr>
        <w:pStyle w:val="FootnoteText"/>
      </w:pPr>
      <w:r>
        <w:rPr>
          <w:rStyle w:val="FootnoteReference"/>
        </w:rPr>
        <w:footnoteRef/>
      </w:r>
      <w:r>
        <w:t xml:space="preserve"> See a</w:t>
      </w:r>
      <w:r w:rsidRPr="00F837DD">
        <w:t>lso David McIlroy and Ruthi Sethi-Smith ‘Prospects for Bankers’ Liability for Authorised Push Payment Fraud’ (2021) 3 J</w:t>
      </w:r>
      <w:r>
        <w:t>IBFL</w:t>
      </w:r>
      <w:r w:rsidRPr="00F837DD">
        <w:t xml:space="preserve"> 172 at 175.</w:t>
      </w:r>
      <w:r>
        <w:t xml:space="preserve">   </w:t>
      </w:r>
    </w:p>
  </w:footnote>
  <w:footnote w:id="75">
    <w:p w14:paraId="1B3A7480" w14:textId="75CB83DE" w:rsidR="00641147" w:rsidRPr="00641147" w:rsidRDefault="00641147" w:rsidP="00641147">
      <w:pPr>
        <w:pStyle w:val="FootnoteText"/>
        <w:jc w:val="both"/>
        <w:rPr>
          <w:lang w:val="en-SG"/>
        </w:rPr>
      </w:pPr>
      <w:r>
        <w:rPr>
          <w:rStyle w:val="FootnoteReference"/>
        </w:rPr>
        <w:footnoteRef/>
      </w:r>
      <w:r>
        <w:t xml:space="preserve"> </w:t>
      </w:r>
      <w:r>
        <w:t>In the UK, the number of APP fraud cases in 2020 increased by 22% (27,509 cases), and the value of total APP fraud also increased, by 5% (</w:t>
      </w:r>
      <w:r w:rsidRPr="00F91225">
        <w:t>£</w:t>
      </w:r>
      <w:r>
        <w:t xml:space="preserve">23.2m), see: </w:t>
      </w:r>
      <w:r w:rsidRPr="00DF0EA9">
        <w:t>UK Finance ‘Fraud The Facts 2021’ p 5</w:t>
      </w:r>
      <w:r>
        <w:t>4.</w:t>
      </w:r>
    </w:p>
  </w:footnote>
  <w:footnote w:id="76">
    <w:p w14:paraId="1BDB06B7" w14:textId="77777777" w:rsidR="00641147" w:rsidRPr="00101E87" w:rsidRDefault="00641147" w:rsidP="00641147">
      <w:pPr>
        <w:pStyle w:val="FootnoteText"/>
        <w:rPr>
          <w:lang w:val="en-SG"/>
        </w:rPr>
      </w:pPr>
      <w:r>
        <w:rPr>
          <w:rStyle w:val="FootnoteReference"/>
        </w:rPr>
        <w:footnoteRef/>
      </w:r>
      <w:r>
        <w:t xml:space="preserve"> See, for example, The Contingent Reimbursement Model (CRM) Code published by the APP Scams Steering Group, established by the PSR.</w:t>
      </w:r>
    </w:p>
  </w:footnote>
  <w:footnote w:id="77">
    <w:p w14:paraId="5D31D2D2" w14:textId="118F0610" w:rsidR="00C10819" w:rsidRPr="00641147" w:rsidRDefault="00C10819" w:rsidP="00C10819">
      <w:pPr>
        <w:pStyle w:val="FootnoteText"/>
        <w:rPr>
          <w:rFonts w:cstheme="minorHAnsi"/>
        </w:rPr>
      </w:pPr>
      <w:r>
        <w:rPr>
          <w:rStyle w:val="FootnoteReference"/>
        </w:rPr>
        <w:footnoteRef/>
      </w:r>
      <w:r>
        <w:t xml:space="preserve"> </w:t>
      </w:r>
      <w:r w:rsidR="00641147" w:rsidRPr="002B7091">
        <w:rPr>
          <w:i/>
          <w:iCs/>
          <w:lang w:val="en-US"/>
        </w:rPr>
        <w:t>Tidal Energy Ltd v Bank of Scotland plc</w:t>
      </w:r>
      <w:r w:rsidR="00641147">
        <w:rPr>
          <w:i/>
          <w:iCs/>
          <w:lang w:val="en-US"/>
        </w:rPr>
        <w:t xml:space="preserve"> </w:t>
      </w:r>
      <w:r w:rsidR="00641147" w:rsidRPr="005673DA">
        <w:rPr>
          <w:rFonts w:cstheme="minorHAnsi"/>
        </w:rPr>
        <w:t>2014] 2 Lloyd's Rep 549 at [].</w:t>
      </w:r>
    </w:p>
  </w:footnote>
  <w:footnote w:id="78">
    <w:p w14:paraId="15FACFBE" w14:textId="480844F5" w:rsidR="006B64B3" w:rsidRDefault="006B64B3">
      <w:pPr>
        <w:pStyle w:val="FootnoteText"/>
      </w:pPr>
      <w:r>
        <w:rPr>
          <w:rStyle w:val="FootnoteReference"/>
        </w:rPr>
        <w:footnoteRef/>
      </w:r>
      <w:r>
        <w:t xml:space="preserve"> </w:t>
      </w:r>
      <w:r w:rsidR="00C40C60" w:rsidRPr="00C40C60">
        <w:rPr>
          <w:i/>
          <w:lang w:val="en-US"/>
        </w:rPr>
        <w:t>Singularis Holdings Ltd (in Official Liquidation) v Daiwa Capital Markets Europe Ltd</w:t>
      </w:r>
      <w:r w:rsidR="00C40C60" w:rsidRPr="00C40C60">
        <w:t xml:space="preserve"> </w:t>
      </w:r>
      <w:r w:rsidR="00C40C60" w:rsidRPr="00832E92">
        <w:t>[2020] AC 1189</w:t>
      </w:r>
      <w:r w:rsidR="00C40C60">
        <w:t xml:space="preserve"> </w:t>
      </w:r>
      <w:r>
        <w:t>[19]-[20].</w:t>
      </w:r>
    </w:p>
  </w:footnote>
  <w:footnote w:id="79">
    <w:p w14:paraId="3F65F2D9" w14:textId="64720CC3" w:rsidR="006C7CF7" w:rsidRDefault="006C7CF7" w:rsidP="006C7CF7">
      <w:pPr>
        <w:pStyle w:val="FootnoteText"/>
      </w:pPr>
      <w:r>
        <w:rPr>
          <w:rStyle w:val="FootnoteReference"/>
        </w:rPr>
        <w:footnoteRef/>
      </w:r>
      <w:r>
        <w:t xml:space="preserve"> </w:t>
      </w:r>
      <w:r w:rsidR="00C40C60">
        <w:rPr>
          <w:i/>
          <w:iCs/>
        </w:rPr>
        <w:t xml:space="preserve">Barclays Bank Plc v </w:t>
      </w:r>
      <w:r w:rsidR="00C40C60" w:rsidRPr="003F2981">
        <w:rPr>
          <w:i/>
          <w:iCs/>
        </w:rPr>
        <w:t>Quincecare</w:t>
      </w:r>
      <w:r w:rsidR="00C40C60">
        <w:t xml:space="preserve"> [1992] 4 All ER 363 </w:t>
      </w:r>
      <w:r w:rsidR="00C40C60" w:rsidRPr="005D7463">
        <w:t>at 376</w:t>
      </w:r>
      <w:r w:rsidR="00C40C60">
        <w:t>-377.</w:t>
      </w:r>
    </w:p>
  </w:footnote>
  <w:footnote w:id="80">
    <w:p w14:paraId="196F8B2B" w14:textId="77777777" w:rsidR="00FC317D" w:rsidRDefault="00FC317D" w:rsidP="00FC317D">
      <w:pPr>
        <w:pStyle w:val="FootnoteText"/>
      </w:pPr>
      <w:r>
        <w:rPr>
          <w:rStyle w:val="FootnoteReference"/>
        </w:rPr>
        <w:footnoteRef/>
      </w:r>
      <w:r>
        <w:t xml:space="preserve"> [</w:t>
      </w:r>
      <w:r w:rsidRPr="00043166">
        <w:t>1989] 1 WLR 1340</w:t>
      </w:r>
      <w:r>
        <w:t xml:space="preserve"> at 1356</w:t>
      </w:r>
      <w:r w:rsidRPr="00043166">
        <w:t>.</w:t>
      </w:r>
    </w:p>
  </w:footnote>
  <w:footnote w:id="81">
    <w:p w14:paraId="673AA272" w14:textId="1DE8AEFF" w:rsidR="00FC317D" w:rsidRDefault="00FC317D" w:rsidP="00FC317D">
      <w:pPr>
        <w:pStyle w:val="FootnoteText"/>
      </w:pPr>
      <w:r>
        <w:rPr>
          <w:rStyle w:val="FootnoteReference"/>
        </w:rPr>
        <w:footnoteRef/>
      </w:r>
      <w:r>
        <w:t xml:space="preserve"> </w:t>
      </w:r>
      <w:bookmarkStart w:id="31" w:name="_Hlk72416983"/>
      <w:r>
        <w:t>[</w:t>
      </w:r>
      <w:r w:rsidRPr="00043166">
        <w:t>1989] 1 WLR 1340</w:t>
      </w:r>
      <w:r>
        <w:t xml:space="preserve"> at 1356</w:t>
      </w:r>
      <w:r w:rsidRPr="00043166">
        <w:t>.</w:t>
      </w:r>
      <w:r>
        <w:t xml:space="preserve"> See also </w:t>
      </w:r>
      <w:r w:rsidR="00C40C60">
        <w:rPr>
          <w:i/>
          <w:iCs/>
        </w:rPr>
        <w:t xml:space="preserve">Barclays Bank Plc v </w:t>
      </w:r>
      <w:r w:rsidR="00C40C60" w:rsidRPr="003F2981">
        <w:rPr>
          <w:i/>
          <w:iCs/>
        </w:rPr>
        <w:t>Quincecare</w:t>
      </w:r>
      <w:r w:rsidR="00C40C60">
        <w:t xml:space="preserve"> [1992] 4 All ER 363 </w:t>
      </w:r>
      <w:r w:rsidR="00C40C60" w:rsidRPr="005D7463">
        <w:t>at 376</w:t>
      </w:r>
      <w:r w:rsidR="00C40C60">
        <w:t>-377</w:t>
      </w:r>
      <w:r w:rsidR="00C40C60">
        <w:t>.</w:t>
      </w:r>
    </w:p>
    <w:bookmarkEnd w:id="31"/>
  </w:footnote>
  <w:footnote w:id="82">
    <w:p w14:paraId="4F76E799" w14:textId="77777777" w:rsidR="00FC317D" w:rsidRDefault="00FC317D" w:rsidP="00FC317D">
      <w:pPr>
        <w:pStyle w:val="FootnoteText"/>
      </w:pPr>
      <w:r>
        <w:rPr>
          <w:rStyle w:val="FootnoteReference"/>
        </w:rPr>
        <w:footnoteRef/>
      </w:r>
      <w:r>
        <w:t xml:space="preserve"> </w:t>
      </w:r>
      <w:r w:rsidRPr="007B15FB">
        <w:t>[1989] 1 WLR 1340 at 13</w:t>
      </w:r>
      <w:r>
        <w:t>81. Nicholls LJ concurred.</w:t>
      </w:r>
    </w:p>
  </w:footnote>
  <w:footnote w:id="83">
    <w:p w14:paraId="31C9CA6D" w14:textId="08FFF644" w:rsidR="00EF0640" w:rsidRDefault="00EF0640">
      <w:pPr>
        <w:pStyle w:val="FootnoteText"/>
      </w:pPr>
      <w:r>
        <w:rPr>
          <w:rStyle w:val="FootnoteReference"/>
        </w:rPr>
        <w:footnoteRef/>
      </w:r>
      <w:r>
        <w:t xml:space="preserve"> </w:t>
      </w:r>
      <w:r w:rsidRPr="00EF0640">
        <w:t>[2019] EWHC 347 (Comm)</w:t>
      </w:r>
      <w:r>
        <w:t xml:space="preserve"> at [30].</w:t>
      </w:r>
    </w:p>
  </w:footnote>
  <w:footnote w:id="84">
    <w:p w14:paraId="7BAA5481" w14:textId="7685DC05" w:rsidR="00E24A71" w:rsidRPr="00E24A71" w:rsidRDefault="00E24A71">
      <w:pPr>
        <w:pStyle w:val="FootnoteText"/>
      </w:pPr>
      <w:r>
        <w:rPr>
          <w:rStyle w:val="FootnoteReference"/>
        </w:rPr>
        <w:footnoteRef/>
      </w:r>
      <w:r>
        <w:t xml:space="preserve"> </w:t>
      </w:r>
      <w:r w:rsidRPr="00E24A71">
        <w:rPr>
          <w:lang w:val="en-US"/>
        </w:rPr>
        <w:t>Of the six cases examined here, and there are few others, three found the banks to be in breach</w:t>
      </w:r>
      <w:r>
        <w:rPr>
          <w:lang w:val="en-US"/>
        </w:rPr>
        <w:t xml:space="preserve">: </w:t>
      </w:r>
      <w:r>
        <w:rPr>
          <w:i/>
          <w:iCs/>
        </w:rPr>
        <w:t>Selangor</w:t>
      </w:r>
      <w:r>
        <w:t xml:space="preserve">, </w:t>
      </w:r>
      <w:r>
        <w:rPr>
          <w:i/>
          <w:iCs/>
        </w:rPr>
        <w:t>Karak</w:t>
      </w:r>
      <w:r>
        <w:t xml:space="preserve"> and </w:t>
      </w:r>
      <w:r>
        <w:rPr>
          <w:i/>
          <w:iCs/>
        </w:rPr>
        <w:t>Singularis</w:t>
      </w:r>
      <w:r>
        <w:t xml:space="preserve">. The banks in </w:t>
      </w:r>
      <w:r>
        <w:rPr>
          <w:i/>
          <w:iCs/>
        </w:rPr>
        <w:t>Quincecare</w:t>
      </w:r>
      <w:r>
        <w:t xml:space="preserve">, </w:t>
      </w:r>
      <w:r>
        <w:rPr>
          <w:i/>
          <w:iCs/>
        </w:rPr>
        <w:t xml:space="preserve">Lipkin Gorman </w:t>
      </w:r>
      <w:r>
        <w:t xml:space="preserve">and </w:t>
      </w:r>
      <w:r>
        <w:rPr>
          <w:i/>
          <w:iCs/>
        </w:rPr>
        <w:t>Philipp</w:t>
      </w:r>
      <w:r>
        <w:t xml:space="preserve"> were exonerated. In </w:t>
      </w:r>
      <w:r w:rsidRPr="00E24A71">
        <w:rPr>
          <w:i/>
          <w:iCs/>
        </w:rPr>
        <w:t>JP Morgan Chase Bank NA v Federal Republic of Nigeria</w:t>
      </w:r>
      <w:r>
        <w:t xml:space="preserve"> </w:t>
      </w:r>
      <w:r w:rsidRPr="00335020">
        <w:t>[2019] 2 CLC 559</w:t>
      </w:r>
      <w:r>
        <w:t xml:space="preserve"> the allegation of breach was considered arguable and summary dismissal was denied.</w:t>
      </w:r>
    </w:p>
  </w:footnote>
  <w:footnote w:id="85">
    <w:p w14:paraId="2A3B10BF" w14:textId="77777777" w:rsidR="0066388E" w:rsidRDefault="0066388E" w:rsidP="0066388E">
      <w:pPr>
        <w:pStyle w:val="FootnoteText"/>
      </w:pPr>
      <w:r>
        <w:rPr>
          <w:rStyle w:val="FootnoteReference"/>
        </w:rPr>
        <w:footnoteRef/>
      </w:r>
      <w:r>
        <w:t xml:space="preserve"> </w:t>
      </w:r>
      <w:r w:rsidRPr="00491CCA">
        <w:rPr>
          <w:lang w:val="en-US"/>
        </w:rPr>
        <w:t>Similar to the suspicious transactions guidance that has been issued pursuant to anti-money laundering framework</w:t>
      </w:r>
      <w:r>
        <w:rPr>
          <w:lang w:val="en-US"/>
        </w:rPr>
        <w:t>s</w:t>
      </w:r>
      <w:r w:rsidRPr="00491CCA">
        <w:rPr>
          <w:lang w:val="en-US"/>
        </w:rPr>
        <w:t>.</w:t>
      </w:r>
      <w:r>
        <w:rPr>
          <w:lang w:val="en-US"/>
        </w:rPr>
        <w:t xml:space="preserve"> UK finance has indicated its support for legislation </w:t>
      </w:r>
      <w:bookmarkStart w:id="32" w:name="_Hlk76035453"/>
      <w:r w:rsidRPr="00DA0509">
        <w:rPr>
          <w:lang w:val="en-US"/>
        </w:rPr>
        <w:t xml:space="preserve">UK Finance ‘Fraud The Facts 2021’ p </w:t>
      </w:r>
      <w:r>
        <w:rPr>
          <w:lang w:val="en-US"/>
        </w:rPr>
        <w:t>5</w:t>
      </w:r>
      <w:r w:rsidRPr="00DA0509">
        <w:rPr>
          <w:lang w:val="en-US"/>
        </w:rPr>
        <w:t>: [].</w:t>
      </w:r>
    </w:p>
    <w:bookmarkEnd w:id="32"/>
  </w:footnote>
  <w:footnote w:id="86">
    <w:p w14:paraId="410D52F7" w14:textId="3DF046C0" w:rsidR="000F0E89" w:rsidRDefault="000F0E89">
      <w:pPr>
        <w:pStyle w:val="FootnoteText"/>
      </w:pPr>
      <w:r>
        <w:rPr>
          <w:rStyle w:val="FootnoteReference"/>
        </w:rPr>
        <w:footnoteRef/>
      </w:r>
      <w:r>
        <w:t xml:space="preserve"> </w:t>
      </w:r>
      <w:r w:rsidRPr="000815E5">
        <w:t>[2021] EWHC 10 (Comm)</w:t>
      </w:r>
      <w:r>
        <w:t xml:space="preserve"> at</w:t>
      </w:r>
      <w:r>
        <w:t xml:space="preserve"> [63]. </w:t>
      </w:r>
      <w:r w:rsidR="00C57C5B" w:rsidRPr="00C57C5B">
        <w:t>W</w:t>
      </w:r>
      <w:r w:rsidR="00C57C5B" w:rsidRPr="00C57C5B">
        <w:t>e</w:t>
      </w:r>
      <w:r w:rsidR="00C57C5B">
        <w:t xml:space="preserve"> also</w:t>
      </w:r>
      <w:r w:rsidR="00C57C5B" w:rsidRPr="00C57C5B">
        <w:t xml:space="preserve"> know that banks engage in proactive scam detection measures in </w:t>
      </w:r>
      <w:r w:rsidR="00C57C5B">
        <w:t>their own interests</w:t>
      </w:r>
      <w:r w:rsidR="00C57C5B" w:rsidRPr="00C57C5B">
        <w:t>, for example to detect unauthorized card payments</w:t>
      </w:r>
      <w:r w:rsidR="00C57C5B">
        <w:t>, s</w:t>
      </w:r>
      <w:r w:rsidR="00C57C5B">
        <w:t xml:space="preserve">ee </w:t>
      </w:r>
      <w:r w:rsidR="00C57C5B" w:rsidRPr="007966AD">
        <w:t>UK Finance ‘Fraud The Facts 2021’ p [].</w:t>
      </w:r>
      <w:r w:rsidR="00C57C5B">
        <w:t xml:space="preserve"> One example is building spending pattern profiles to detect unusual </w:t>
      </w:r>
      <w:r w:rsidR="00C57C5B">
        <w:t>behaviour</w:t>
      </w:r>
      <w:r w:rsidR="00C57C5B">
        <w:t>.</w:t>
      </w:r>
    </w:p>
  </w:footnote>
  <w:footnote w:id="87">
    <w:p w14:paraId="01FAAA66" w14:textId="10C9F9BE" w:rsidR="007C58B3" w:rsidRDefault="007C58B3">
      <w:pPr>
        <w:pStyle w:val="FootnoteText"/>
      </w:pPr>
      <w:r>
        <w:rPr>
          <w:rStyle w:val="FootnoteReference"/>
        </w:rPr>
        <w:footnoteRef/>
      </w:r>
      <w:r>
        <w:t xml:space="preserve"> </w:t>
      </w:r>
      <w:r w:rsidRPr="007C58B3">
        <w:t>[2011] 2 SLR 178</w:t>
      </w:r>
      <w:r>
        <w:t>.</w:t>
      </w:r>
      <w:r w:rsidR="00D41A47" w:rsidRPr="00D41A47">
        <w:t xml:space="preserve"> </w:t>
      </w:r>
      <w:r w:rsidR="00D41A47">
        <w:t>See also</w:t>
      </w:r>
      <w:r w:rsidR="00C40C60" w:rsidRPr="00C40C60">
        <w:rPr>
          <w:i/>
        </w:rPr>
        <w:t xml:space="preserve"> </w:t>
      </w:r>
      <w:r w:rsidR="00C40C60" w:rsidRPr="00BE51AD">
        <w:rPr>
          <w:i/>
        </w:rPr>
        <w:t>Yogambikai Nagarajah v Indian Overseas Bank</w:t>
      </w:r>
      <w:r w:rsidR="00C40C60">
        <w:rPr>
          <w:i/>
        </w:rPr>
        <w:t xml:space="preserve"> </w:t>
      </w:r>
      <w:r w:rsidR="00C40C60" w:rsidRPr="00043166">
        <w:t>[1997] 1 SLR 258</w:t>
      </w:r>
      <w:r w:rsidR="00D41A47">
        <w:t>.</w:t>
      </w:r>
    </w:p>
  </w:footnote>
  <w:footnote w:id="88">
    <w:p w14:paraId="59025A00" w14:textId="583FBBE3" w:rsidR="00C57C5B" w:rsidRDefault="00C57C5B">
      <w:pPr>
        <w:pStyle w:val="FootnoteText"/>
      </w:pPr>
      <w:r>
        <w:rPr>
          <w:rStyle w:val="FootnoteReference"/>
        </w:rPr>
        <w:footnoteRef/>
      </w:r>
      <w:r>
        <w:t xml:space="preserve"> </w:t>
      </w:r>
      <w:r>
        <w:t>The court was satisfied that the customer had the requisite mental capacity to operate her account, and hence the case should not be marginalised as an example of non-intentional instructions.</w:t>
      </w:r>
    </w:p>
  </w:footnote>
  <w:footnote w:id="89">
    <w:p w14:paraId="30FF51A7" w14:textId="40E20463" w:rsidR="0029128D" w:rsidRDefault="0029128D">
      <w:pPr>
        <w:pStyle w:val="FootnoteText"/>
      </w:pPr>
      <w:r>
        <w:rPr>
          <w:rStyle w:val="FootnoteReference"/>
        </w:rPr>
        <w:footnoteRef/>
      </w:r>
      <w:r>
        <w:t xml:space="preserve"> </w:t>
      </w:r>
      <w:r w:rsidR="00C57C5B" w:rsidRPr="00C57C5B">
        <w:t>Any argument that the customer’s daughter was her agent can be discounted as contrived.</w:t>
      </w:r>
    </w:p>
  </w:footnote>
  <w:footnote w:id="90">
    <w:p w14:paraId="21B37EE2" w14:textId="5C4FC0D0" w:rsidR="00D6382B" w:rsidRDefault="00D6382B">
      <w:pPr>
        <w:pStyle w:val="FootnoteText"/>
      </w:pPr>
      <w:r>
        <w:rPr>
          <w:rStyle w:val="FootnoteReference"/>
        </w:rPr>
        <w:footnoteRef/>
      </w:r>
      <w:r>
        <w:t xml:space="preserve"> </w:t>
      </w:r>
      <w:r w:rsidR="00C40C60" w:rsidRPr="00F5041E">
        <w:rPr>
          <w:i/>
          <w:iCs/>
        </w:rPr>
        <w:t xml:space="preserve">Hsu Ann Mei Amy v Oversea-Chinese Banking Corp Ltd </w:t>
      </w:r>
      <w:r w:rsidR="00C40C60" w:rsidRPr="00F5041E">
        <w:t>[2011] 2 SLR 178</w:t>
      </w:r>
      <w:r w:rsidR="004F5423">
        <w:t xml:space="preserve"> at [23]</w:t>
      </w:r>
      <w:r>
        <w:t>.</w:t>
      </w:r>
      <w:r w:rsidR="004F5423">
        <w:t xml:space="preserve"> See also </w:t>
      </w:r>
      <w:r w:rsidR="004F5423" w:rsidRPr="00BE51AD">
        <w:rPr>
          <w:i/>
        </w:rPr>
        <w:t>Yogambikai Nagarajah v Indian Overseas Bank</w:t>
      </w:r>
      <w:r w:rsidR="004F5423">
        <w:rPr>
          <w:i/>
        </w:rPr>
        <w:t xml:space="preserve"> </w:t>
      </w:r>
      <w:r w:rsidR="004F5423" w:rsidRPr="00043166">
        <w:t>[1997] 1 SLR 258</w:t>
      </w:r>
      <w:r w:rsidR="004F5423">
        <w:t xml:space="preserve"> at [53] that the duty to observe instructions ‘co-exists’</w:t>
      </w:r>
      <w:r w:rsidR="004F5423" w:rsidRPr="004F5423">
        <w:t xml:space="preserve"> </w:t>
      </w:r>
      <w:r w:rsidR="004F5423">
        <w:t xml:space="preserve">with the duty </w:t>
      </w:r>
      <w:r w:rsidR="004F5423">
        <w:t>of care.</w:t>
      </w:r>
    </w:p>
  </w:footnote>
  <w:footnote w:id="91">
    <w:p w14:paraId="1D727552" w14:textId="45F39B02" w:rsidR="008F1DC3" w:rsidRDefault="008F1DC3">
      <w:pPr>
        <w:pStyle w:val="FootnoteText"/>
      </w:pPr>
      <w:r>
        <w:rPr>
          <w:rStyle w:val="FootnoteReference"/>
        </w:rPr>
        <w:footnoteRef/>
      </w:r>
      <w:r>
        <w:t xml:space="preserve"> </w:t>
      </w:r>
      <w:r w:rsidR="001932C6">
        <w:t xml:space="preserve">See </w:t>
      </w:r>
      <w:bookmarkStart w:id="34" w:name="_Hlk72338121"/>
      <w:r w:rsidR="00A27D98" w:rsidRPr="00BE51AD">
        <w:rPr>
          <w:i/>
        </w:rPr>
        <w:t>Yogambikai Nagarajah v Indian Overseas Bank</w:t>
      </w:r>
      <w:r w:rsidR="00A27D98">
        <w:rPr>
          <w:i/>
        </w:rPr>
        <w:t xml:space="preserve"> </w:t>
      </w:r>
      <w:r w:rsidR="00A27D98" w:rsidRPr="00043166">
        <w:t>[1997] 1 SLR 258</w:t>
      </w:r>
      <w:bookmarkEnd w:id="34"/>
      <w:r w:rsidR="001932C6">
        <w:t>.</w:t>
      </w:r>
      <w:r w:rsidR="00697DA0">
        <w:t xml:space="preserve"> A bank was found to be in breach of its duty of care in </w:t>
      </w:r>
      <w:r w:rsidR="006920FF" w:rsidRPr="006920FF">
        <w:rPr>
          <w:i/>
        </w:rPr>
        <w:t>Bank of America National Trust and Savings Association v Herman Iskandar</w:t>
      </w:r>
      <w:r w:rsidR="006920FF">
        <w:t xml:space="preserve"> </w:t>
      </w:r>
      <w:r w:rsidR="006920FF" w:rsidRPr="00546C2D">
        <w:t>[1998] 1 SLR (R) 848</w:t>
      </w:r>
      <w:r w:rsidR="006920FF">
        <w:t xml:space="preserve"> </w:t>
      </w:r>
      <w:r w:rsidR="00697DA0">
        <w:t>but the case did not involve payment.</w:t>
      </w:r>
    </w:p>
  </w:footnote>
  <w:footnote w:id="92">
    <w:p w14:paraId="7E0B8DD3" w14:textId="77777777" w:rsidR="00585AE2" w:rsidRDefault="00585AE2" w:rsidP="00585AE2">
      <w:pPr>
        <w:pStyle w:val="FootnoteText"/>
      </w:pPr>
      <w:r>
        <w:rPr>
          <w:rStyle w:val="FootnoteReference"/>
        </w:rPr>
        <w:footnoteRef/>
      </w:r>
      <w:r>
        <w:t xml:space="preserve"> </w:t>
      </w:r>
      <w:bookmarkStart w:id="36" w:name="_Hlk75952508"/>
      <w:bookmarkStart w:id="37" w:name="_Hlk75952509"/>
      <w:r>
        <w:t>Katy Worobic, UK Finance ‘Fraud The Facts 2021’ p 4: [].</w:t>
      </w:r>
      <w:bookmarkEnd w:id="36"/>
      <w:bookmarkEnd w:id="37"/>
    </w:p>
  </w:footnote>
  <w:footnote w:id="93">
    <w:p w14:paraId="5ECF9883" w14:textId="72B11D10" w:rsidR="006F1CE5" w:rsidRDefault="006F1CE5" w:rsidP="006F1CE5">
      <w:pPr>
        <w:pStyle w:val="FootnoteText"/>
      </w:pPr>
      <w:r>
        <w:rPr>
          <w:rStyle w:val="FootnoteReference"/>
        </w:rPr>
        <w:footnoteRef/>
      </w:r>
      <w:r>
        <w:t xml:space="preserve"> The problem is particularly acute when the key persons are complicit in the fraud, see the extreme example in </w:t>
      </w:r>
      <w:r w:rsidRPr="00AA468F">
        <w:rPr>
          <w:i/>
          <w:iCs/>
        </w:rPr>
        <w:t>The Federal Republic of Nigeria v JP Morgan Chase Bank, NA</w:t>
      </w:r>
      <w:r w:rsidRPr="00AA468F">
        <w:t xml:space="preserve"> [2019] EWHC 347 (Comm)</w:t>
      </w:r>
      <w:r>
        <w:t xml:space="preserve"> at [21], confirmed on appeal, </w:t>
      </w:r>
      <w:r w:rsidRPr="00AA468F">
        <w:t>[2019] EWCA Civ 1641</w:t>
      </w:r>
      <w:r>
        <w:t xml:space="preserve"> where the instruction was given apparently corruptly by a senior government figure with </w:t>
      </w:r>
      <w:r w:rsidR="006920FF">
        <w:t xml:space="preserve">the </w:t>
      </w:r>
      <w:r>
        <w:t xml:space="preserve">complicity </w:t>
      </w:r>
      <w:r w:rsidR="006920FF">
        <w:t xml:space="preserve">of others </w:t>
      </w:r>
      <w:r>
        <w:t xml:space="preserve">at </w:t>
      </w:r>
      <w:r w:rsidR="006920FF">
        <w:t xml:space="preserve">a </w:t>
      </w:r>
      <w:r>
        <w:t>high level.</w:t>
      </w:r>
    </w:p>
  </w:footnote>
  <w:footnote w:id="94">
    <w:p w14:paraId="61C85054" w14:textId="47D92F8E" w:rsidR="005A3C9D" w:rsidRDefault="005A3C9D">
      <w:pPr>
        <w:pStyle w:val="FootnoteText"/>
      </w:pPr>
      <w:r>
        <w:rPr>
          <w:rStyle w:val="FootnoteReference"/>
        </w:rPr>
        <w:footnoteRef/>
      </w:r>
      <w:r>
        <w:t xml:space="preserve"> UK Finance ‘Fraud The Facts 2021’ p 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3437C" w14:textId="77777777" w:rsidR="00E86723" w:rsidRDefault="00E867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39B8C" w14:textId="7D82598F" w:rsidR="00E86723" w:rsidRDefault="007C6797" w:rsidP="00E86723">
    <w:pPr>
      <w:pStyle w:val="Header"/>
    </w:pPr>
    <w:sdt>
      <w:sdtPr>
        <w:id w:val="98459993"/>
        <w:docPartObj>
          <w:docPartGallery w:val="Watermarks"/>
          <w:docPartUnique/>
        </w:docPartObj>
      </w:sdtPr>
      <w:sdtContent>
        <w:r>
          <w:rPr>
            <w:noProof/>
          </w:rPr>
          <w:pict w14:anchorId="2A815B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527830" o:spid="_x0000_s2052"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86723">
      <w:t xml:space="preserve">Paper submitted for the </w:t>
    </w:r>
    <w:r w:rsidR="00E86723" w:rsidRPr="00E86723">
      <w:t xml:space="preserve">20th Biannual </w:t>
    </w:r>
    <w:r w:rsidR="00E86723">
      <w:t>C</w:t>
    </w:r>
    <w:r w:rsidR="00E86723" w:rsidRPr="00E86723">
      <w:t>onference of the</w:t>
    </w:r>
    <w:r w:rsidR="00E86723">
      <w:t xml:space="preserve"> </w:t>
    </w:r>
    <w:r w:rsidR="00E86723">
      <w:t>International Academy of Commercial and Consumer Law</w:t>
    </w:r>
    <w:r w:rsidR="00E86723">
      <w:t>, 14-15 July 2021. Please do not cite without the author’s consent.</w:t>
    </w:r>
  </w:p>
  <w:p w14:paraId="2547DD49" w14:textId="77777777" w:rsidR="00E86723" w:rsidRDefault="00E867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63934" w14:textId="77777777" w:rsidR="00E86723" w:rsidRDefault="00E867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E5504D"/>
    <w:multiLevelType w:val="hybridMultilevel"/>
    <w:tmpl w:val="0A48B70E"/>
    <w:lvl w:ilvl="0" w:tplc="11BA77BC">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745186"/>
    <w:multiLevelType w:val="hybridMultilevel"/>
    <w:tmpl w:val="FBC673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DC000C"/>
    <w:multiLevelType w:val="hybridMultilevel"/>
    <w:tmpl w:val="C7CA32F2"/>
    <w:lvl w:ilvl="0" w:tplc="11BA77B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3802FA"/>
    <w:multiLevelType w:val="hybridMultilevel"/>
    <w:tmpl w:val="CB6A3422"/>
    <w:lvl w:ilvl="0" w:tplc="433CCF7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DE0409"/>
    <w:multiLevelType w:val="hybridMultilevel"/>
    <w:tmpl w:val="17A8D948"/>
    <w:lvl w:ilvl="0" w:tplc="871807C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6F2C63"/>
    <w:multiLevelType w:val="hybridMultilevel"/>
    <w:tmpl w:val="C7CA32F2"/>
    <w:lvl w:ilvl="0" w:tplc="11BA77B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E62"/>
    <w:rsid w:val="000002B2"/>
    <w:rsid w:val="0000052D"/>
    <w:rsid w:val="00005128"/>
    <w:rsid w:val="00007CEB"/>
    <w:rsid w:val="00010864"/>
    <w:rsid w:val="00011087"/>
    <w:rsid w:val="00011C79"/>
    <w:rsid w:val="000129E4"/>
    <w:rsid w:val="000138DA"/>
    <w:rsid w:val="00017C1B"/>
    <w:rsid w:val="00023647"/>
    <w:rsid w:val="00027175"/>
    <w:rsid w:val="00034AE0"/>
    <w:rsid w:val="000372ED"/>
    <w:rsid w:val="00041641"/>
    <w:rsid w:val="00046DC9"/>
    <w:rsid w:val="00056957"/>
    <w:rsid w:val="000570B4"/>
    <w:rsid w:val="00057192"/>
    <w:rsid w:val="000572B2"/>
    <w:rsid w:val="00060145"/>
    <w:rsid w:val="0007139F"/>
    <w:rsid w:val="00073682"/>
    <w:rsid w:val="000815E5"/>
    <w:rsid w:val="00082E75"/>
    <w:rsid w:val="00090277"/>
    <w:rsid w:val="00093533"/>
    <w:rsid w:val="000A131B"/>
    <w:rsid w:val="000A5244"/>
    <w:rsid w:val="000A55C6"/>
    <w:rsid w:val="000A655B"/>
    <w:rsid w:val="000A7148"/>
    <w:rsid w:val="000B2FD6"/>
    <w:rsid w:val="000B3238"/>
    <w:rsid w:val="000B5871"/>
    <w:rsid w:val="000C35AF"/>
    <w:rsid w:val="000C589F"/>
    <w:rsid w:val="000D4BDC"/>
    <w:rsid w:val="000D4BE4"/>
    <w:rsid w:val="000E1EEE"/>
    <w:rsid w:val="000F0E89"/>
    <w:rsid w:val="000F15C5"/>
    <w:rsid w:val="000F2C3D"/>
    <w:rsid w:val="00110A3F"/>
    <w:rsid w:val="00120A85"/>
    <w:rsid w:val="00122ED6"/>
    <w:rsid w:val="0012366F"/>
    <w:rsid w:val="00124D2B"/>
    <w:rsid w:val="00135B73"/>
    <w:rsid w:val="00140559"/>
    <w:rsid w:val="00141790"/>
    <w:rsid w:val="00145021"/>
    <w:rsid w:val="001451D8"/>
    <w:rsid w:val="0014644A"/>
    <w:rsid w:val="00147BF5"/>
    <w:rsid w:val="001509E8"/>
    <w:rsid w:val="001512EC"/>
    <w:rsid w:val="001521EB"/>
    <w:rsid w:val="00155E7E"/>
    <w:rsid w:val="00167432"/>
    <w:rsid w:val="00173D4B"/>
    <w:rsid w:val="00175BBE"/>
    <w:rsid w:val="00184505"/>
    <w:rsid w:val="001866AD"/>
    <w:rsid w:val="0019161B"/>
    <w:rsid w:val="001932C6"/>
    <w:rsid w:val="001B0C30"/>
    <w:rsid w:val="001B1411"/>
    <w:rsid w:val="001B1BE0"/>
    <w:rsid w:val="001B2D45"/>
    <w:rsid w:val="001B736B"/>
    <w:rsid w:val="001D27E3"/>
    <w:rsid w:val="001D37F6"/>
    <w:rsid w:val="001D4F06"/>
    <w:rsid w:val="001D7CE8"/>
    <w:rsid w:val="001E0D91"/>
    <w:rsid w:val="001E1D08"/>
    <w:rsid w:val="001F3860"/>
    <w:rsid w:val="001F78B1"/>
    <w:rsid w:val="0020029C"/>
    <w:rsid w:val="002047E5"/>
    <w:rsid w:val="00206488"/>
    <w:rsid w:val="00214946"/>
    <w:rsid w:val="00221547"/>
    <w:rsid w:val="0022536F"/>
    <w:rsid w:val="00230620"/>
    <w:rsid w:val="002359DF"/>
    <w:rsid w:val="00235CCC"/>
    <w:rsid w:val="00237FE1"/>
    <w:rsid w:val="00240B2D"/>
    <w:rsid w:val="0024193E"/>
    <w:rsid w:val="00252AF4"/>
    <w:rsid w:val="00253DD1"/>
    <w:rsid w:val="002572EF"/>
    <w:rsid w:val="00272E48"/>
    <w:rsid w:val="002805C1"/>
    <w:rsid w:val="00283980"/>
    <w:rsid w:val="0028464C"/>
    <w:rsid w:val="00286437"/>
    <w:rsid w:val="0029128D"/>
    <w:rsid w:val="002915EA"/>
    <w:rsid w:val="002943B0"/>
    <w:rsid w:val="002A185B"/>
    <w:rsid w:val="002A313B"/>
    <w:rsid w:val="002A34B1"/>
    <w:rsid w:val="002B09FD"/>
    <w:rsid w:val="002C48DA"/>
    <w:rsid w:val="002C53E6"/>
    <w:rsid w:val="002D138A"/>
    <w:rsid w:val="002D3AF6"/>
    <w:rsid w:val="002D5F7A"/>
    <w:rsid w:val="002E2522"/>
    <w:rsid w:val="002F252B"/>
    <w:rsid w:val="0030172D"/>
    <w:rsid w:val="00305263"/>
    <w:rsid w:val="00307942"/>
    <w:rsid w:val="003123A8"/>
    <w:rsid w:val="00315312"/>
    <w:rsid w:val="0032293A"/>
    <w:rsid w:val="00325F33"/>
    <w:rsid w:val="0032704A"/>
    <w:rsid w:val="0033051D"/>
    <w:rsid w:val="0033230C"/>
    <w:rsid w:val="00333128"/>
    <w:rsid w:val="003335CA"/>
    <w:rsid w:val="00335020"/>
    <w:rsid w:val="003353AF"/>
    <w:rsid w:val="003439BB"/>
    <w:rsid w:val="003440DE"/>
    <w:rsid w:val="003509DC"/>
    <w:rsid w:val="00355AD5"/>
    <w:rsid w:val="0037445F"/>
    <w:rsid w:val="003760F4"/>
    <w:rsid w:val="00376AA9"/>
    <w:rsid w:val="003814A0"/>
    <w:rsid w:val="003871D2"/>
    <w:rsid w:val="00391D89"/>
    <w:rsid w:val="00392D19"/>
    <w:rsid w:val="00394101"/>
    <w:rsid w:val="00397BA6"/>
    <w:rsid w:val="003A1E39"/>
    <w:rsid w:val="003A4305"/>
    <w:rsid w:val="003A616B"/>
    <w:rsid w:val="003A7A78"/>
    <w:rsid w:val="003B25C5"/>
    <w:rsid w:val="003B4A05"/>
    <w:rsid w:val="003C4149"/>
    <w:rsid w:val="003C463E"/>
    <w:rsid w:val="003C5A9B"/>
    <w:rsid w:val="003C6004"/>
    <w:rsid w:val="003C7471"/>
    <w:rsid w:val="003C7B11"/>
    <w:rsid w:val="003D3EDF"/>
    <w:rsid w:val="003D7AD6"/>
    <w:rsid w:val="003E2AC3"/>
    <w:rsid w:val="003E2B6F"/>
    <w:rsid w:val="003F396E"/>
    <w:rsid w:val="00400327"/>
    <w:rsid w:val="004010AE"/>
    <w:rsid w:val="004055F3"/>
    <w:rsid w:val="00410F76"/>
    <w:rsid w:val="004130CB"/>
    <w:rsid w:val="00417F94"/>
    <w:rsid w:val="00420911"/>
    <w:rsid w:val="00434CAC"/>
    <w:rsid w:val="004360B7"/>
    <w:rsid w:val="00441E74"/>
    <w:rsid w:val="004421BF"/>
    <w:rsid w:val="004462D5"/>
    <w:rsid w:val="004558C8"/>
    <w:rsid w:val="00460619"/>
    <w:rsid w:val="00467709"/>
    <w:rsid w:val="00472D5B"/>
    <w:rsid w:val="00491CCA"/>
    <w:rsid w:val="0049244E"/>
    <w:rsid w:val="00492CAA"/>
    <w:rsid w:val="00494B54"/>
    <w:rsid w:val="0049505E"/>
    <w:rsid w:val="004A2234"/>
    <w:rsid w:val="004A2B95"/>
    <w:rsid w:val="004A77DF"/>
    <w:rsid w:val="004B11BE"/>
    <w:rsid w:val="004B53E6"/>
    <w:rsid w:val="004B7E73"/>
    <w:rsid w:val="004C1016"/>
    <w:rsid w:val="004D0028"/>
    <w:rsid w:val="004E6CE1"/>
    <w:rsid w:val="004E7745"/>
    <w:rsid w:val="004F0E6B"/>
    <w:rsid w:val="004F5423"/>
    <w:rsid w:val="004F5DD1"/>
    <w:rsid w:val="0051559A"/>
    <w:rsid w:val="005264E4"/>
    <w:rsid w:val="00531CF3"/>
    <w:rsid w:val="00532B31"/>
    <w:rsid w:val="00536DC8"/>
    <w:rsid w:val="00537D12"/>
    <w:rsid w:val="005434C3"/>
    <w:rsid w:val="00545103"/>
    <w:rsid w:val="0054597A"/>
    <w:rsid w:val="00546B69"/>
    <w:rsid w:val="0055312D"/>
    <w:rsid w:val="0055641B"/>
    <w:rsid w:val="00561368"/>
    <w:rsid w:val="005664A7"/>
    <w:rsid w:val="00566CF2"/>
    <w:rsid w:val="00570634"/>
    <w:rsid w:val="00574C55"/>
    <w:rsid w:val="00576F3C"/>
    <w:rsid w:val="005771D8"/>
    <w:rsid w:val="005837FB"/>
    <w:rsid w:val="005854E2"/>
    <w:rsid w:val="00585583"/>
    <w:rsid w:val="00585AE2"/>
    <w:rsid w:val="00587E6C"/>
    <w:rsid w:val="00590EF2"/>
    <w:rsid w:val="00594431"/>
    <w:rsid w:val="00596E43"/>
    <w:rsid w:val="005A3C9D"/>
    <w:rsid w:val="005A4AB5"/>
    <w:rsid w:val="005A5669"/>
    <w:rsid w:val="005A79BF"/>
    <w:rsid w:val="005B77F2"/>
    <w:rsid w:val="005C0AAA"/>
    <w:rsid w:val="005C6D96"/>
    <w:rsid w:val="005D0246"/>
    <w:rsid w:val="005D6A94"/>
    <w:rsid w:val="005D7463"/>
    <w:rsid w:val="005F704D"/>
    <w:rsid w:val="005F7804"/>
    <w:rsid w:val="00612296"/>
    <w:rsid w:val="006173D7"/>
    <w:rsid w:val="006200EF"/>
    <w:rsid w:val="00621BF8"/>
    <w:rsid w:val="00622242"/>
    <w:rsid w:val="00627F31"/>
    <w:rsid w:val="0063319C"/>
    <w:rsid w:val="00636B59"/>
    <w:rsid w:val="00636DBE"/>
    <w:rsid w:val="00637FA3"/>
    <w:rsid w:val="00641147"/>
    <w:rsid w:val="0064187A"/>
    <w:rsid w:val="00645D90"/>
    <w:rsid w:val="0066169C"/>
    <w:rsid w:val="0066388E"/>
    <w:rsid w:val="006652B9"/>
    <w:rsid w:val="0067771A"/>
    <w:rsid w:val="00680FA3"/>
    <w:rsid w:val="006863C4"/>
    <w:rsid w:val="00690E8E"/>
    <w:rsid w:val="006920FF"/>
    <w:rsid w:val="006948B6"/>
    <w:rsid w:val="00697276"/>
    <w:rsid w:val="00697DA0"/>
    <w:rsid w:val="006A5A76"/>
    <w:rsid w:val="006A7863"/>
    <w:rsid w:val="006B0A2D"/>
    <w:rsid w:val="006B64B3"/>
    <w:rsid w:val="006C135C"/>
    <w:rsid w:val="006C3617"/>
    <w:rsid w:val="006C47B9"/>
    <w:rsid w:val="006C6E9D"/>
    <w:rsid w:val="006C7CF7"/>
    <w:rsid w:val="006D1AA5"/>
    <w:rsid w:val="006D2EAC"/>
    <w:rsid w:val="006D57A2"/>
    <w:rsid w:val="006D6E5B"/>
    <w:rsid w:val="006D78B9"/>
    <w:rsid w:val="006E6510"/>
    <w:rsid w:val="006E7482"/>
    <w:rsid w:val="006F17A1"/>
    <w:rsid w:val="006F1CE5"/>
    <w:rsid w:val="006F418F"/>
    <w:rsid w:val="00701307"/>
    <w:rsid w:val="007016CD"/>
    <w:rsid w:val="00701DCE"/>
    <w:rsid w:val="00705C1C"/>
    <w:rsid w:val="007114BC"/>
    <w:rsid w:val="00717C6E"/>
    <w:rsid w:val="00723F9A"/>
    <w:rsid w:val="00732CB8"/>
    <w:rsid w:val="00736C49"/>
    <w:rsid w:val="00741399"/>
    <w:rsid w:val="00745126"/>
    <w:rsid w:val="0075269C"/>
    <w:rsid w:val="0076125D"/>
    <w:rsid w:val="0078026F"/>
    <w:rsid w:val="007812C5"/>
    <w:rsid w:val="00783E7B"/>
    <w:rsid w:val="00784A72"/>
    <w:rsid w:val="00791FEA"/>
    <w:rsid w:val="0079372B"/>
    <w:rsid w:val="0079426A"/>
    <w:rsid w:val="00795EE7"/>
    <w:rsid w:val="007966AD"/>
    <w:rsid w:val="007B15FB"/>
    <w:rsid w:val="007B1E63"/>
    <w:rsid w:val="007B502F"/>
    <w:rsid w:val="007B79D3"/>
    <w:rsid w:val="007C24AC"/>
    <w:rsid w:val="007C4AA1"/>
    <w:rsid w:val="007C58B3"/>
    <w:rsid w:val="007C6797"/>
    <w:rsid w:val="007D6C0C"/>
    <w:rsid w:val="007E0D63"/>
    <w:rsid w:val="007E52D8"/>
    <w:rsid w:val="007E798D"/>
    <w:rsid w:val="007F4744"/>
    <w:rsid w:val="00802695"/>
    <w:rsid w:val="00803374"/>
    <w:rsid w:val="0081589D"/>
    <w:rsid w:val="008167A6"/>
    <w:rsid w:val="00820AF9"/>
    <w:rsid w:val="00820FFE"/>
    <w:rsid w:val="0082600C"/>
    <w:rsid w:val="008277F9"/>
    <w:rsid w:val="0083176A"/>
    <w:rsid w:val="00832E92"/>
    <w:rsid w:val="008335AF"/>
    <w:rsid w:val="0084143F"/>
    <w:rsid w:val="008546C6"/>
    <w:rsid w:val="008557F9"/>
    <w:rsid w:val="0085626C"/>
    <w:rsid w:val="00863346"/>
    <w:rsid w:val="00863816"/>
    <w:rsid w:val="00865927"/>
    <w:rsid w:val="0086610D"/>
    <w:rsid w:val="00866DE4"/>
    <w:rsid w:val="00867760"/>
    <w:rsid w:val="008740B7"/>
    <w:rsid w:val="00877B83"/>
    <w:rsid w:val="008854F1"/>
    <w:rsid w:val="00885C0D"/>
    <w:rsid w:val="00886D1F"/>
    <w:rsid w:val="00891B16"/>
    <w:rsid w:val="0089398C"/>
    <w:rsid w:val="0089604B"/>
    <w:rsid w:val="008A1CD6"/>
    <w:rsid w:val="008A4104"/>
    <w:rsid w:val="008A4236"/>
    <w:rsid w:val="008A64E8"/>
    <w:rsid w:val="008C0F35"/>
    <w:rsid w:val="008C45EA"/>
    <w:rsid w:val="008C57D7"/>
    <w:rsid w:val="008E0FC3"/>
    <w:rsid w:val="008E1871"/>
    <w:rsid w:val="008F1DC3"/>
    <w:rsid w:val="00900757"/>
    <w:rsid w:val="00903E06"/>
    <w:rsid w:val="00903E5D"/>
    <w:rsid w:val="00905DAD"/>
    <w:rsid w:val="00906F00"/>
    <w:rsid w:val="0091764B"/>
    <w:rsid w:val="00921529"/>
    <w:rsid w:val="0092226C"/>
    <w:rsid w:val="00924DC3"/>
    <w:rsid w:val="00925CC3"/>
    <w:rsid w:val="00926B55"/>
    <w:rsid w:val="0092717A"/>
    <w:rsid w:val="009337AD"/>
    <w:rsid w:val="00937C87"/>
    <w:rsid w:val="00941978"/>
    <w:rsid w:val="00943B8D"/>
    <w:rsid w:val="009531E4"/>
    <w:rsid w:val="00957CCC"/>
    <w:rsid w:val="00957FDD"/>
    <w:rsid w:val="00960D81"/>
    <w:rsid w:val="00961D7B"/>
    <w:rsid w:val="00963F47"/>
    <w:rsid w:val="009700A5"/>
    <w:rsid w:val="009800D1"/>
    <w:rsid w:val="00980F44"/>
    <w:rsid w:val="00981A97"/>
    <w:rsid w:val="00985A3F"/>
    <w:rsid w:val="00987F1E"/>
    <w:rsid w:val="00993120"/>
    <w:rsid w:val="00993DDD"/>
    <w:rsid w:val="00995FFE"/>
    <w:rsid w:val="00996A0F"/>
    <w:rsid w:val="00997D0C"/>
    <w:rsid w:val="009A0D1C"/>
    <w:rsid w:val="009C08FA"/>
    <w:rsid w:val="009C1B83"/>
    <w:rsid w:val="009C6F20"/>
    <w:rsid w:val="009D6CF0"/>
    <w:rsid w:val="009E02C1"/>
    <w:rsid w:val="009E0D4E"/>
    <w:rsid w:val="009E0EF1"/>
    <w:rsid w:val="009E2734"/>
    <w:rsid w:val="009E36A9"/>
    <w:rsid w:val="009E41B7"/>
    <w:rsid w:val="009F4BBC"/>
    <w:rsid w:val="009F5390"/>
    <w:rsid w:val="00A02C1B"/>
    <w:rsid w:val="00A02FA0"/>
    <w:rsid w:val="00A10CFF"/>
    <w:rsid w:val="00A14C15"/>
    <w:rsid w:val="00A154D6"/>
    <w:rsid w:val="00A17F88"/>
    <w:rsid w:val="00A2340A"/>
    <w:rsid w:val="00A2503A"/>
    <w:rsid w:val="00A26D89"/>
    <w:rsid w:val="00A27051"/>
    <w:rsid w:val="00A27D98"/>
    <w:rsid w:val="00A32032"/>
    <w:rsid w:val="00A3464B"/>
    <w:rsid w:val="00A40789"/>
    <w:rsid w:val="00A47CBC"/>
    <w:rsid w:val="00A5107C"/>
    <w:rsid w:val="00A52D7C"/>
    <w:rsid w:val="00A539FC"/>
    <w:rsid w:val="00A56A82"/>
    <w:rsid w:val="00A67E91"/>
    <w:rsid w:val="00A67F5F"/>
    <w:rsid w:val="00A72757"/>
    <w:rsid w:val="00A7688E"/>
    <w:rsid w:val="00A76AB6"/>
    <w:rsid w:val="00A774E3"/>
    <w:rsid w:val="00A8052D"/>
    <w:rsid w:val="00A86A8E"/>
    <w:rsid w:val="00A907D9"/>
    <w:rsid w:val="00A93B8A"/>
    <w:rsid w:val="00A95C15"/>
    <w:rsid w:val="00AA04BA"/>
    <w:rsid w:val="00AA1053"/>
    <w:rsid w:val="00AA19A9"/>
    <w:rsid w:val="00AA468F"/>
    <w:rsid w:val="00AA5BFE"/>
    <w:rsid w:val="00AB24E0"/>
    <w:rsid w:val="00AB5145"/>
    <w:rsid w:val="00AB61C2"/>
    <w:rsid w:val="00AB7C9A"/>
    <w:rsid w:val="00AC2B4C"/>
    <w:rsid w:val="00AC3A94"/>
    <w:rsid w:val="00AD2C6A"/>
    <w:rsid w:val="00AF01B9"/>
    <w:rsid w:val="00AF5040"/>
    <w:rsid w:val="00AF56A2"/>
    <w:rsid w:val="00B0456A"/>
    <w:rsid w:val="00B05394"/>
    <w:rsid w:val="00B0550F"/>
    <w:rsid w:val="00B10502"/>
    <w:rsid w:val="00B13FD3"/>
    <w:rsid w:val="00B17DE4"/>
    <w:rsid w:val="00B30620"/>
    <w:rsid w:val="00B31128"/>
    <w:rsid w:val="00B317D6"/>
    <w:rsid w:val="00B353B9"/>
    <w:rsid w:val="00B375D3"/>
    <w:rsid w:val="00B45D74"/>
    <w:rsid w:val="00B50B37"/>
    <w:rsid w:val="00B67D91"/>
    <w:rsid w:val="00B720F0"/>
    <w:rsid w:val="00B757BB"/>
    <w:rsid w:val="00B75CA5"/>
    <w:rsid w:val="00B84498"/>
    <w:rsid w:val="00B872AE"/>
    <w:rsid w:val="00B901C9"/>
    <w:rsid w:val="00B90754"/>
    <w:rsid w:val="00B93116"/>
    <w:rsid w:val="00BA1D69"/>
    <w:rsid w:val="00BB47AB"/>
    <w:rsid w:val="00BC3AAE"/>
    <w:rsid w:val="00BC4638"/>
    <w:rsid w:val="00BC52A4"/>
    <w:rsid w:val="00BC6ACC"/>
    <w:rsid w:val="00BD1330"/>
    <w:rsid w:val="00BD19D9"/>
    <w:rsid w:val="00BD3842"/>
    <w:rsid w:val="00BE4FC5"/>
    <w:rsid w:val="00BE51AD"/>
    <w:rsid w:val="00BE5A53"/>
    <w:rsid w:val="00BE6C07"/>
    <w:rsid w:val="00C03955"/>
    <w:rsid w:val="00C03C47"/>
    <w:rsid w:val="00C04F16"/>
    <w:rsid w:val="00C10819"/>
    <w:rsid w:val="00C11F0D"/>
    <w:rsid w:val="00C15A8B"/>
    <w:rsid w:val="00C17BFB"/>
    <w:rsid w:val="00C30933"/>
    <w:rsid w:val="00C31C99"/>
    <w:rsid w:val="00C32747"/>
    <w:rsid w:val="00C40C60"/>
    <w:rsid w:val="00C436BF"/>
    <w:rsid w:val="00C442BB"/>
    <w:rsid w:val="00C50787"/>
    <w:rsid w:val="00C531C5"/>
    <w:rsid w:val="00C57C5B"/>
    <w:rsid w:val="00C57FF5"/>
    <w:rsid w:val="00C635D5"/>
    <w:rsid w:val="00C636D2"/>
    <w:rsid w:val="00C65DDB"/>
    <w:rsid w:val="00C72689"/>
    <w:rsid w:val="00C74A97"/>
    <w:rsid w:val="00C75FB6"/>
    <w:rsid w:val="00C761A3"/>
    <w:rsid w:val="00C8038D"/>
    <w:rsid w:val="00C81EB5"/>
    <w:rsid w:val="00C831EB"/>
    <w:rsid w:val="00CA2B64"/>
    <w:rsid w:val="00CA5762"/>
    <w:rsid w:val="00CB49C5"/>
    <w:rsid w:val="00CC0F0F"/>
    <w:rsid w:val="00CC57F5"/>
    <w:rsid w:val="00CD0994"/>
    <w:rsid w:val="00CD4ADB"/>
    <w:rsid w:val="00CD5AE8"/>
    <w:rsid w:val="00CD778D"/>
    <w:rsid w:val="00CE5785"/>
    <w:rsid w:val="00CF12A9"/>
    <w:rsid w:val="00CF5C11"/>
    <w:rsid w:val="00D04C6F"/>
    <w:rsid w:val="00D10605"/>
    <w:rsid w:val="00D23D25"/>
    <w:rsid w:val="00D31463"/>
    <w:rsid w:val="00D32D36"/>
    <w:rsid w:val="00D40BDC"/>
    <w:rsid w:val="00D41A47"/>
    <w:rsid w:val="00D41BB0"/>
    <w:rsid w:val="00D509C0"/>
    <w:rsid w:val="00D5117F"/>
    <w:rsid w:val="00D531FB"/>
    <w:rsid w:val="00D60EB7"/>
    <w:rsid w:val="00D62C49"/>
    <w:rsid w:val="00D6382B"/>
    <w:rsid w:val="00D77138"/>
    <w:rsid w:val="00D817A3"/>
    <w:rsid w:val="00D84988"/>
    <w:rsid w:val="00DA0509"/>
    <w:rsid w:val="00DA050C"/>
    <w:rsid w:val="00DA1A60"/>
    <w:rsid w:val="00DA4A6F"/>
    <w:rsid w:val="00DB28E0"/>
    <w:rsid w:val="00DB40DC"/>
    <w:rsid w:val="00DB4E48"/>
    <w:rsid w:val="00DC1CE0"/>
    <w:rsid w:val="00DC2DFA"/>
    <w:rsid w:val="00DC3DEB"/>
    <w:rsid w:val="00DD2F9D"/>
    <w:rsid w:val="00DD392D"/>
    <w:rsid w:val="00DD423A"/>
    <w:rsid w:val="00DD65D1"/>
    <w:rsid w:val="00DE4A26"/>
    <w:rsid w:val="00DE5E62"/>
    <w:rsid w:val="00DE60EF"/>
    <w:rsid w:val="00DF0EA9"/>
    <w:rsid w:val="00DF3C4E"/>
    <w:rsid w:val="00DF3C83"/>
    <w:rsid w:val="00DF3ED7"/>
    <w:rsid w:val="00DF7E4A"/>
    <w:rsid w:val="00E00657"/>
    <w:rsid w:val="00E02229"/>
    <w:rsid w:val="00E05A49"/>
    <w:rsid w:val="00E1025B"/>
    <w:rsid w:val="00E103F1"/>
    <w:rsid w:val="00E104DA"/>
    <w:rsid w:val="00E14E95"/>
    <w:rsid w:val="00E20518"/>
    <w:rsid w:val="00E21741"/>
    <w:rsid w:val="00E24A71"/>
    <w:rsid w:val="00E255E1"/>
    <w:rsid w:val="00E35EB9"/>
    <w:rsid w:val="00E376BF"/>
    <w:rsid w:val="00E43588"/>
    <w:rsid w:val="00E44AD4"/>
    <w:rsid w:val="00E470C8"/>
    <w:rsid w:val="00E520CB"/>
    <w:rsid w:val="00E57E82"/>
    <w:rsid w:val="00E6092A"/>
    <w:rsid w:val="00E63B0A"/>
    <w:rsid w:val="00E704EB"/>
    <w:rsid w:val="00E71012"/>
    <w:rsid w:val="00E71974"/>
    <w:rsid w:val="00E72257"/>
    <w:rsid w:val="00E8368D"/>
    <w:rsid w:val="00E8569C"/>
    <w:rsid w:val="00E86723"/>
    <w:rsid w:val="00E8740A"/>
    <w:rsid w:val="00E922B0"/>
    <w:rsid w:val="00E96576"/>
    <w:rsid w:val="00EA01BC"/>
    <w:rsid w:val="00EB2ED0"/>
    <w:rsid w:val="00EB3EB1"/>
    <w:rsid w:val="00EB4024"/>
    <w:rsid w:val="00ED0CA3"/>
    <w:rsid w:val="00ED5252"/>
    <w:rsid w:val="00ED5A25"/>
    <w:rsid w:val="00EE3074"/>
    <w:rsid w:val="00EE7D5B"/>
    <w:rsid w:val="00EF0640"/>
    <w:rsid w:val="00EF1A2B"/>
    <w:rsid w:val="00F05AFD"/>
    <w:rsid w:val="00F069C7"/>
    <w:rsid w:val="00F1195E"/>
    <w:rsid w:val="00F133B4"/>
    <w:rsid w:val="00F20059"/>
    <w:rsid w:val="00F260D0"/>
    <w:rsid w:val="00F26F02"/>
    <w:rsid w:val="00F3131C"/>
    <w:rsid w:val="00F353D2"/>
    <w:rsid w:val="00F35503"/>
    <w:rsid w:val="00F3784D"/>
    <w:rsid w:val="00F42FD4"/>
    <w:rsid w:val="00F475D1"/>
    <w:rsid w:val="00F47998"/>
    <w:rsid w:val="00F5041E"/>
    <w:rsid w:val="00F51346"/>
    <w:rsid w:val="00F51830"/>
    <w:rsid w:val="00F576AE"/>
    <w:rsid w:val="00F60F5C"/>
    <w:rsid w:val="00F61018"/>
    <w:rsid w:val="00F630B2"/>
    <w:rsid w:val="00F630DC"/>
    <w:rsid w:val="00F6642D"/>
    <w:rsid w:val="00F70464"/>
    <w:rsid w:val="00F833BC"/>
    <w:rsid w:val="00F837DD"/>
    <w:rsid w:val="00F9048E"/>
    <w:rsid w:val="00F91771"/>
    <w:rsid w:val="00F94AEA"/>
    <w:rsid w:val="00F97989"/>
    <w:rsid w:val="00FA3C56"/>
    <w:rsid w:val="00FA4E84"/>
    <w:rsid w:val="00FA7170"/>
    <w:rsid w:val="00FA73DB"/>
    <w:rsid w:val="00FB6CAF"/>
    <w:rsid w:val="00FB7870"/>
    <w:rsid w:val="00FB7CA6"/>
    <w:rsid w:val="00FC317D"/>
    <w:rsid w:val="00FC524C"/>
    <w:rsid w:val="00FC6AF4"/>
    <w:rsid w:val="00FD164A"/>
    <w:rsid w:val="00FD51FB"/>
    <w:rsid w:val="00FD7E40"/>
    <w:rsid w:val="00FE0F65"/>
    <w:rsid w:val="00FE4BDA"/>
    <w:rsid w:val="00FE5918"/>
    <w:rsid w:val="00FE7ED2"/>
    <w:rsid w:val="00FF1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35AA91A"/>
  <w15:docId w15:val="{2DDF8E13-B169-40A6-85F6-BC742A04E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s,Footnote Text Char2 Char,Footnote Text Char1 Char Char2,Footnote Text Char Char Char Char2,Footnote Text Char2 Char Char Char Char1,Footnote Text Char1 Char Char Char Char Char1,Footnote Text Char2,Footnote Text Char Char Char"/>
    <w:basedOn w:val="Normal"/>
    <w:link w:val="FootnoteTextChar"/>
    <w:uiPriority w:val="99"/>
    <w:unhideWhenUsed/>
    <w:qFormat/>
    <w:rsid w:val="00995FFE"/>
    <w:pPr>
      <w:spacing w:after="0" w:line="240" w:lineRule="auto"/>
    </w:pPr>
    <w:rPr>
      <w:sz w:val="20"/>
      <w:szCs w:val="20"/>
    </w:rPr>
  </w:style>
  <w:style w:type="character" w:customStyle="1" w:styleId="FootnoteTextChar">
    <w:name w:val="Footnote Text Char"/>
    <w:aliases w:val="Footnotes Char,Footnote Text Char2 Char Char,Footnote Text Char1 Char Char2 Char,Footnote Text Char Char Char Char2 Char,Footnote Text Char2 Char Char Char Char1 Char,Footnote Text Char1 Char Char Char Char Char1 Char"/>
    <w:basedOn w:val="DefaultParagraphFont"/>
    <w:link w:val="FootnoteText"/>
    <w:uiPriority w:val="99"/>
    <w:rsid w:val="00995FFE"/>
    <w:rPr>
      <w:sz w:val="20"/>
      <w:szCs w:val="20"/>
    </w:rPr>
  </w:style>
  <w:style w:type="character" w:styleId="FootnoteReference">
    <w:name w:val="footnote reference"/>
    <w:basedOn w:val="DefaultParagraphFont"/>
    <w:unhideWhenUsed/>
    <w:rsid w:val="00995FFE"/>
    <w:rPr>
      <w:vertAlign w:val="superscript"/>
    </w:rPr>
  </w:style>
  <w:style w:type="paragraph" w:styleId="ListParagraph">
    <w:name w:val="List Paragraph"/>
    <w:basedOn w:val="Normal"/>
    <w:uiPriority w:val="34"/>
    <w:qFormat/>
    <w:rsid w:val="00CF12A9"/>
    <w:pPr>
      <w:ind w:left="720"/>
      <w:contextualSpacing/>
    </w:pPr>
  </w:style>
  <w:style w:type="character" w:styleId="Hyperlink">
    <w:name w:val="Hyperlink"/>
    <w:basedOn w:val="DefaultParagraphFont"/>
    <w:uiPriority w:val="99"/>
    <w:unhideWhenUsed/>
    <w:rsid w:val="00E520CB"/>
    <w:rPr>
      <w:color w:val="0563C1" w:themeColor="hyperlink"/>
      <w:u w:val="single"/>
    </w:rPr>
  </w:style>
  <w:style w:type="character" w:styleId="UnresolvedMention">
    <w:name w:val="Unresolved Mention"/>
    <w:basedOn w:val="DefaultParagraphFont"/>
    <w:uiPriority w:val="99"/>
    <w:semiHidden/>
    <w:unhideWhenUsed/>
    <w:rsid w:val="00E520CB"/>
    <w:rPr>
      <w:color w:val="605E5C"/>
      <w:shd w:val="clear" w:color="auto" w:fill="E1DFDD"/>
    </w:rPr>
  </w:style>
  <w:style w:type="paragraph" w:styleId="Header">
    <w:name w:val="header"/>
    <w:basedOn w:val="Normal"/>
    <w:link w:val="HeaderChar"/>
    <w:uiPriority w:val="99"/>
    <w:unhideWhenUsed/>
    <w:rsid w:val="006D2E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2EAC"/>
  </w:style>
  <w:style w:type="paragraph" w:styleId="Footer">
    <w:name w:val="footer"/>
    <w:basedOn w:val="Normal"/>
    <w:link w:val="FooterChar"/>
    <w:uiPriority w:val="99"/>
    <w:unhideWhenUsed/>
    <w:rsid w:val="006D2E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2EAC"/>
  </w:style>
  <w:style w:type="character" w:styleId="CommentReference">
    <w:name w:val="annotation reference"/>
    <w:basedOn w:val="DefaultParagraphFont"/>
    <w:uiPriority w:val="99"/>
    <w:semiHidden/>
    <w:unhideWhenUsed/>
    <w:rsid w:val="00ED0CA3"/>
    <w:rPr>
      <w:sz w:val="16"/>
      <w:szCs w:val="16"/>
    </w:rPr>
  </w:style>
  <w:style w:type="paragraph" w:styleId="CommentText">
    <w:name w:val="annotation text"/>
    <w:basedOn w:val="Normal"/>
    <w:link w:val="CommentTextChar"/>
    <w:uiPriority w:val="99"/>
    <w:semiHidden/>
    <w:unhideWhenUsed/>
    <w:rsid w:val="00ED0CA3"/>
    <w:pPr>
      <w:spacing w:line="240" w:lineRule="auto"/>
    </w:pPr>
    <w:rPr>
      <w:sz w:val="20"/>
      <w:szCs w:val="20"/>
    </w:rPr>
  </w:style>
  <w:style w:type="character" w:customStyle="1" w:styleId="CommentTextChar">
    <w:name w:val="Comment Text Char"/>
    <w:basedOn w:val="DefaultParagraphFont"/>
    <w:link w:val="CommentText"/>
    <w:uiPriority w:val="99"/>
    <w:semiHidden/>
    <w:rsid w:val="00ED0CA3"/>
    <w:rPr>
      <w:sz w:val="20"/>
      <w:szCs w:val="20"/>
    </w:rPr>
  </w:style>
  <w:style w:type="paragraph" w:styleId="CommentSubject">
    <w:name w:val="annotation subject"/>
    <w:basedOn w:val="CommentText"/>
    <w:next w:val="CommentText"/>
    <w:link w:val="CommentSubjectChar"/>
    <w:uiPriority w:val="99"/>
    <w:semiHidden/>
    <w:unhideWhenUsed/>
    <w:rsid w:val="00ED0CA3"/>
    <w:rPr>
      <w:b/>
      <w:bCs/>
    </w:rPr>
  </w:style>
  <w:style w:type="character" w:customStyle="1" w:styleId="CommentSubjectChar">
    <w:name w:val="Comment Subject Char"/>
    <w:basedOn w:val="CommentTextChar"/>
    <w:link w:val="CommentSubject"/>
    <w:uiPriority w:val="99"/>
    <w:semiHidden/>
    <w:rsid w:val="00ED0C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dbs.com.sg/personal/deposits/terms-conditions-electronic-services.page?pid=sg-dbs-pweb-footer-default-term-conditions-governing-electronic-services-textlink#" TargetMode="External"/><Relationship Id="rId2" Type="http://schemas.openxmlformats.org/officeDocument/2006/relationships/hyperlink" Target="https://www.psr.org.uk/sites/default/files/media/PDF/which-super-complaint-sep-2016.pdf" TargetMode="External"/><Relationship Id="rId1" Type="http://schemas.openxmlformats.org/officeDocument/2006/relationships/hyperlink" Target="https://www.ukfinance.org.uk/system/files/Fraud%20The%20Facts%202021-%20FINAL.pdf" TargetMode="External"/><Relationship Id="rId4" Type="http://schemas.openxmlformats.org/officeDocument/2006/relationships/hyperlink" Target="https://www.psr.org.uk/sites/default/files/media/PDF/which-super-complaint-sep-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AD40E-ACD7-4718-AACD-9CAAB4843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3005</TotalTime>
  <Pages>13</Pages>
  <Words>4175</Words>
  <Characters>23801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Annette Booysen (Deputy Director, CBFL)</dc:creator>
  <cp:keywords/>
  <dc:description/>
  <cp:lastModifiedBy>Sandra Annette Booysen (Deputy Director, CBFL)</cp:lastModifiedBy>
  <cp:revision>57</cp:revision>
  <dcterms:created xsi:type="dcterms:W3CDTF">2021-06-30T05:20:00Z</dcterms:created>
  <dcterms:modified xsi:type="dcterms:W3CDTF">2021-07-11T08:54:00Z</dcterms:modified>
</cp:coreProperties>
</file>